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360"/>
      </w:pPr>
    </w:p>
    <w:p>
      <w:pPr>
        <w:spacing w:after="360"/>
      </w:pPr>
    </w:p>
    <w:p>
      <w:pPr>
        <w:spacing w:after="360"/>
      </w:pPr>
    </w:p>
    <w:p>
      <w:pPr>
        <w:spacing w:after="180"/>
        <w:jc w:val="center"/>
      </w:pPr>
      <w:r>
        <w:rPr>
          <w:rFonts w:ascii="Noto Sans SC" w:hAnsi="Noto Sans SC" w:eastAsia="Noto Sans SC"/>
          <w:b/>
          <w:i w:val="0"/>
          <w:color w:val="16212B"/>
          <w:sz w:val="50"/>
        </w:rPr>
        <w:t>市场推广服务合同</w:t>
      </w:r>
    </w:p>
    <w:p>
      <w:pPr>
        <w:spacing w:after="720"/>
        <w:jc w:val="center"/>
      </w:pPr>
      <w:r>
        <w:rPr>
          <w:rFonts w:ascii="Noto Sans SC" w:hAnsi="Noto Sans SC" w:eastAsia="Noto Sans SC"/>
          <w:b w:val="0"/>
          <w:i w:val="0"/>
          <w:color w:val="626B75"/>
          <w:sz w:val="28"/>
        </w:rPr>
        <w:t>曜境 Pulse X2 智能手表新品上市项目</w:t>
      </w:r>
    </w:p>
    <w:p>
      <w:pPr>
        <w:spacing w:after="140"/>
        <w:jc w:val="center"/>
      </w:pPr>
      <w:r>
        <w:rPr>
          <w:rFonts w:ascii="Noto Sans SC" w:hAnsi="Noto Sans SC" w:eastAsia="Noto Sans SC"/>
          <w:b/>
          <w:i w:val="0"/>
          <w:color w:val="16212B"/>
          <w:sz w:val="21"/>
        </w:rPr>
        <w:t>甲方：</w:t>
      </w:r>
      <w:r>
        <w:rPr>
          <w:rFonts w:ascii="Noto Sans SC" w:hAnsi="Noto Sans SC" w:eastAsia="Noto Sans SC"/>
          <w:b w:val="0"/>
          <w:i w:val="0"/>
          <w:color w:val="16212B"/>
          <w:sz w:val="21"/>
        </w:rPr>
        <w:t>上海曜境智能科技有限公司</w:t>
      </w:r>
    </w:p>
    <w:p>
      <w:pPr>
        <w:spacing w:after="140"/>
        <w:jc w:val="center"/>
      </w:pPr>
      <w:r>
        <w:rPr>
          <w:rFonts w:ascii="Noto Sans SC" w:hAnsi="Noto Sans SC" w:eastAsia="Noto Sans SC"/>
          <w:b/>
          <w:i w:val="0"/>
          <w:color w:val="16212B"/>
          <w:sz w:val="21"/>
        </w:rPr>
        <w:t>乙方：</w:t>
      </w:r>
      <w:r>
        <w:rPr>
          <w:rFonts w:ascii="Noto Sans SC" w:hAnsi="Noto Sans SC" w:eastAsia="Noto Sans SC"/>
          <w:b w:val="0"/>
          <w:i w:val="0"/>
          <w:color w:val="16212B"/>
          <w:sz w:val="21"/>
        </w:rPr>
        <w:t>北京叙光品牌传播有限公司</w:t>
      </w:r>
    </w:p>
    <w:p>
      <w:pPr>
        <w:spacing w:after="140"/>
        <w:jc w:val="center"/>
      </w:pPr>
      <w:r>
        <w:rPr>
          <w:rFonts w:ascii="Noto Sans SC" w:hAnsi="Noto Sans SC" w:eastAsia="Noto Sans SC"/>
          <w:b/>
          <w:i w:val="0"/>
          <w:color w:val="16212B"/>
          <w:sz w:val="21"/>
        </w:rPr>
        <w:t>项目周期：</w:t>
      </w:r>
      <w:r>
        <w:rPr>
          <w:rFonts w:ascii="Noto Sans SC" w:hAnsi="Noto Sans SC" w:eastAsia="Noto Sans SC"/>
          <w:b w:val="0"/>
          <w:i w:val="0"/>
          <w:color w:val="16212B"/>
          <w:sz w:val="21"/>
        </w:rPr>
        <w:t>2026年9月1日至2026年11月30日</w:t>
      </w:r>
    </w:p>
    <w:p>
      <w:pPr>
        <w:spacing w:after="140"/>
        <w:jc w:val="center"/>
      </w:pPr>
      <w:r>
        <w:rPr>
          <w:rFonts w:ascii="Noto Sans SC" w:hAnsi="Noto Sans SC" w:eastAsia="Noto Sans SC"/>
          <w:b/>
          <w:i w:val="0"/>
          <w:color w:val="16212B"/>
          <w:sz w:val="21"/>
        </w:rPr>
        <w:t>计划上市日：</w:t>
      </w:r>
      <w:r>
        <w:rPr>
          <w:rFonts w:ascii="Noto Sans SC" w:hAnsi="Noto Sans SC" w:eastAsia="Noto Sans SC"/>
          <w:b w:val="0"/>
          <w:i w:val="0"/>
          <w:color w:val="16212B"/>
          <w:sz w:val="21"/>
        </w:rPr>
        <w:t>2026年10月15日</w:t>
      </w:r>
    </w:p>
    <w:p>
      <w:pPr>
        <w:spacing w:after="140"/>
        <w:jc w:val="center"/>
      </w:pPr>
      <w:r>
        <w:rPr>
          <w:rFonts w:ascii="Noto Sans SC" w:hAnsi="Noto Sans SC" w:eastAsia="Noto Sans SC"/>
          <w:b/>
          <w:i w:val="0"/>
          <w:color w:val="16212B"/>
          <w:sz w:val="21"/>
        </w:rPr>
        <w:t>合同含税总价：</w:t>
      </w:r>
      <w:r>
        <w:rPr>
          <w:rFonts w:ascii="Noto Sans SC" w:hAnsi="Noto Sans SC" w:eastAsia="Noto Sans SC"/>
          <w:b w:val="0"/>
          <w:i w:val="0"/>
          <w:color w:val="16212B"/>
          <w:sz w:val="21"/>
        </w:rPr>
        <w:t>人民币柒拾捌万元整（¥780,000.00）</w:t>
      </w:r>
    </w:p>
    <w:p>
      <w:pPr>
        <w:spacing w:after="140"/>
        <w:jc w:val="center"/>
      </w:pPr>
      <w:r>
        <w:rPr>
          <w:rFonts w:ascii="Noto Sans SC" w:hAnsi="Noto Sans SC" w:eastAsia="Noto Sans SC"/>
          <w:b/>
          <w:i w:val="0"/>
          <w:color w:val="16212B"/>
          <w:sz w:val="21"/>
        </w:rPr>
        <w:t>签署地点：</w:t>
      </w:r>
      <w:r>
        <w:rPr>
          <w:rFonts w:ascii="Noto Sans SC" w:hAnsi="Noto Sans SC" w:eastAsia="Noto Sans SC"/>
          <w:b w:val="0"/>
          <w:i w:val="0"/>
          <w:color w:val="16212B"/>
          <w:sz w:val="21"/>
        </w:rPr>
        <w:t>上海市浦东新区</w:t>
      </w:r>
    </w:p>
    <w:p>
      <w:pPr>
        <w:spacing w:before="760"/>
        <w:jc w:val="center"/>
      </w:pPr>
      <w:r>
        <w:rPr>
          <w:rFonts w:ascii="Noto Sans SC" w:hAnsi="Noto Sans SC" w:eastAsia="Noto Sans SC"/>
          <w:b w:val="0"/>
          <w:i w:val="0"/>
          <w:color w:val="626B75"/>
          <w:sz w:val="21"/>
        </w:rPr>
        <w:t>签署日期：2026年9月1日</w:t>
      </w:r>
    </w:p>
    <w:p>
      <w:r>
        <w:br w:type="page"/>
      </w:r>
    </w:p>
    <w:p>
      <w:pPr>
        <w:pStyle w:val="Heading1"/>
        <w:keepNext/>
        <w:pageBreakBefore w:val="0"/>
      </w:pPr>
      <w:r>
        <w:rPr>
          <w:rFonts w:ascii="Noto Sans SC" w:hAnsi="Noto Sans SC" w:eastAsia="Noto Sans SC"/>
          <w:b/>
          <w:i w:val="0"/>
          <w:color w:val="16212B"/>
          <w:sz w:val="28"/>
        </w:rPr>
        <w:t>合同当事人</w:t>
      </w:r>
    </w:p>
    <w:p>
      <w:pPr>
        <w:pStyle w:val="ContractClause"/>
      </w:pPr>
      <w:r>
        <w:rPr>
          <w:rFonts w:ascii="Noto Sans SC" w:hAnsi="Noto Sans SC" w:eastAsia="Noto Sans SC"/>
          <w:b/>
          <w:i w:val="0"/>
          <w:color w:val="16212B"/>
          <w:sz w:val="21"/>
        </w:rPr>
        <w:t xml:space="preserve">甲方： </w:t>
      </w:r>
      <w:r>
        <w:rPr>
          <w:rFonts w:ascii="Noto Sans SC" w:hAnsi="Noto Sans SC" w:eastAsia="Noto Sans SC"/>
          <w:b w:val="0"/>
          <w:i w:val="0"/>
          <w:color w:val="16212B"/>
          <w:sz w:val="21"/>
        </w:rPr>
        <w:t>上海曜境智能科技有限公司</w:t>
      </w:r>
    </w:p>
    <w:p>
      <w:pPr>
        <w:pStyle w:val="ContractClause"/>
      </w:pPr>
      <w:r>
        <w:rPr>
          <w:rFonts w:ascii="Noto Sans SC" w:hAnsi="Noto Sans SC" w:eastAsia="Noto Sans SC"/>
          <w:b/>
          <w:i w:val="0"/>
          <w:color w:val="16212B"/>
          <w:sz w:val="21"/>
        </w:rPr>
        <w:t xml:space="preserve">统一社会信用代码： </w:t>
      </w:r>
      <w:r>
        <w:rPr>
          <w:rFonts w:ascii="Noto Sans SC" w:hAnsi="Noto Sans SC" w:eastAsia="Noto Sans SC"/>
          <w:b w:val="0"/>
          <w:i w:val="0"/>
          <w:color w:val="16212B"/>
          <w:sz w:val="21"/>
        </w:rPr>
        <w:t>91310115MA8YJ4R76M</w:t>
      </w:r>
    </w:p>
    <w:p>
      <w:pPr>
        <w:pStyle w:val="ContractClause"/>
      </w:pPr>
      <w:r>
        <w:rPr>
          <w:rFonts w:ascii="Noto Sans SC" w:hAnsi="Noto Sans SC" w:eastAsia="Noto Sans SC"/>
          <w:b/>
          <w:i w:val="0"/>
          <w:color w:val="16212B"/>
          <w:sz w:val="21"/>
        </w:rPr>
        <w:t xml:space="preserve">注册地址： </w:t>
      </w:r>
      <w:r>
        <w:rPr>
          <w:rFonts w:ascii="Noto Sans SC" w:hAnsi="Noto Sans SC" w:eastAsia="Noto Sans SC"/>
          <w:b w:val="0"/>
          <w:i w:val="0"/>
          <w:color w:val="16212B"/>
          <w:sz w:val="21"/>
        </w:rPr>
        <w:t>上海市浦东新区张江路88号曜境中心18层</w:t>
      </w:r>
    </w:p>
    <w:p>
      <w:pPr>
        <w:pStyle w:val="ContractClause"/>
      </w:pPr>
      <w:r>
        <w:rPr>
          <w:rFonts w:ascii="Noto Sans SC" w:hAnsi="Noto Sans SC" w:eastAsia="Noto Sans SC"/>
          <w:b/>
          <w:i w:val="0"/>
          <w:color w:val="16212B"/>
          <w:sz w:val="21"/>
        </w:rPr>
        <w:t xml:space="preserve">项目联系人： </w:t>
      </w:r>
      <w:r>
        <w:rPr>
          <w:rFonts w:ascii="Noto Sans SC" w:hAnsi="Noto Sans SC" w:eastAsia="Noto Sans SC"/>
          <w:b w:val="0"/>
          <w:i w:val="0"/>
          <w:color w:val="16212B"/>
          <w:sz w:val="21"/>
        </w:rPr>
        <w:t>赵静｜联系电话、电子邮箱以双方项目群及附件六所列信息为准</w:t>
      </w:r>
    </w:p>
    <w:p>
      <w:pPr>
        <w:pStyle w:val="ContractClause"/>
      </w:pPr>
      <w:r>
        <w:rPr>
          <w:rFonts w:ascii="Noto Sans SC" w:hAnsi="Noto Sans SC" w:eastAsia="Noto Sans SC"/>
          <w:b/>
          <w:i w:val="0"/>
          <w:color w:val="16212B"/>
          <w:sz w:val="21"/>
        </w:rPr>
        <w:t xml:space="preserve">乙方： </w:t>
      </w:r>
      <w:r>
        <w:rPr>
          <w:rFonts w:ascii="Noto Sans SC" w:hAnsi="Noto Sans SC" w:eastAsia="Noto Sans SC"/>
          <w:b w:val="0"/>
          <w:i w:val="0"/>
          <w:color w:val="16212B"/>
          <w:sz w:val="21"/>
        </w:rPr>
        <w:t>北京叙光品牌传播有限公司</w:t>
      </w:r>
    </w:p>
    <w:p>
      <w:pPr>
        <w:pStyle w:val="ContractClause"/>
      </w:pPr>
      <w:r>
        <w:rPr>
          <w:rFonts w:ascii="Noto Sans SC" w:hAnsi="Noto Sans SC" w:eastAsia="Noto Sans SC"/>
          <w:b/>
          <w:i w:val="0"/>
          <w:color w:val="16212B"/>
          <w:sz w:val="21"/>
        </w:rPr>
        <w:t xml:space="preserve">统一社会信用代码： </w:t>
      </w:r>
      <w:r>
        <w:rPr>
          <w:rFonts w:ascii="Noto Sans SC" w:hAnsi="Noto Sans SC" w:eastAsia="Noto Sans SC"/>
          <w:b w:val="0"/>
          <w:i w:val="0"/>
          <w:color w:val="16212B"/>
          <w:sz w:val="21"/>
        </w:rPr>
        <w:t>91110105MA7KX2P83Q</w:t>
      </w:r>
    </w:p>
    <w:p>
      <w:pPr>
        <w:pStyle w:val="ContractClause"/>
      </w:pPr>
      <w:r>
        <w:rPr>
          <w:rFonts w:ascii="Noto Sans SC" w:hAnsi="Noto Sans SC" w:eastAsia="Noto Sans SC"/>
          <w:b/>
          <w:i w:val="0"/>
          <w:color w:val="16212B"/>
          <w:sz w:val="21"/>
        </w:rPr>
        <w:t xml:space="preserve">注册地址： </w:t>
      </w:r>
      <w:r>
        <w:rPr>
          <w:rFonts w:ascii="Noto Sans SC" w:hAnsi="Noto Sans SC" w:eastAsia="Noto Sans SC"/>
          <w:b w:val="0"/>
          <w:i w:val="0"/>
          <w:color w:val="16212B"/>
          <w:sz w:val="21"/>
        </w:rPr>
        <w:t>北京市朝阳区酒仙桥路20号创意园B6栋302室</w:t>
      </w:r>
    </w:p>
    <w:p>
      <w:pPr>
        <w:pStyle w:val="ContractClause"/>
      </w:pPr>
      <w:r>
        <w:rPr>
          <w:rFonts w:ascii="Noto Sans SC" w:hAnsi="Noto Sans SC" w:eastAsia="Noto Sans SC"/>
          <w:b/>
          <w:i w:val="0"/>
          <w:color w:val="16212B"/>
          <w:sz w:val="21"/>
        </w:rPr>
        <w:t xml:space="preserve">项目联系人： </w:t>
      </w:r>
      <w:r>
        <w:rPr>
          <w:rFonts w:ascii="Noto Sans SC" w:hAnsi="Noto Sans SC" w:eastAsia="Noto Sans SC"/>
          <w:b w:val="0"/>
          <w:i w:val="0"/>
          <w:color w:val="16212B"/>
          <w:sz w:val="21"/>
        </w:rPr>
        <w:t>陈思羽｜联系电话、电子邮箱以双方项目群及附件六所列信息为准</w:t>
      </w:r>
    </w:p>
    <w:p>
      <w:pPr>
        <w:pStyle w:val="ContractBody"/>
        <w:ind w:firstLine="418"/>
      </w:pPr>
      <w:r>
        <w:rPr>
          <w:rFonts w:ascii="Noto Sans SC" w:hAnsi="Noto Sans SC" w:eastAsia="Noto Sans SC"/>
          <w:b w:val="0"/>
          <w:i w:val="0"/>
          <w:color w:val="16212B"/>
          <w:sz w:val="21"/>
        </w:rPr>
        <w:t>鉴于甲方拟于2026年10月推出“曜境 Pulse X2”智能手表，需要在指定科技、消费电子及生活方式媒体发布新品新闻稿，并通过小红书平台的数码、运动及生活方式创作者开展产品体验与种草传播；乙方具备媒体传播、内容策划、KOL采购及项目执行能力。双方依照《中华人民共和国民法典》《中华人民共和国广告法》《中华人民共和国反不正当竞争法》《互联网广告管理办法》等法律法规，在平等、自愿、诚实信用基础上订立本合同。</w:t>
      </w:r>
    </w:p>
    <w:p>
      <w:pPr>
        <w:pStyle w:val="ContractBody"/>
        <w:ind w:firstLine="418"/>
      </w:pPr>
      <w:r>
        <w:rPr>
          <w:rFonts w:ascii="Noto Sans SC" w:hAnsi="Noto Sans SC" w:eastAsia="Noto Sans SC"/>
          <w:b w:val="0"/>
          <w:i w:val="0"/>
          <w:color w:val="16212B"/>
          <w:sz w:val="21"/>
        </w:rPr>
        <w:t>双方确认，本合同及附件已完整记录本项目的服务范围、交付标准、价款、排期和责任安排；任何未明确留空的交易条件均为双方已经协商确认的内容。附件与主合同具有同等法律效力。</w:t>
      </w:r>
    </w:p>
    <w:p>
      <w:pPr>
        <w:pStyle w:val="Heading1"/>
        <w:keepNext/>
        <w:pageBreakBefore w:val="0"/>
      </w:pPr>
      <w:r>
        <w:rPr>
          <w:rFonts w:ascii="Noto Sans SC" w:hAnsi="Noto Sans SC" w:eastAsia="Noto Sans SC"/>
          <w:b/>
          <w:i w:val="0"/>
          <w:color w:val="16212B"/>
          <w:sz w:val="28"/>
        </w:rPr>
        <w:t>第一条 定义与合同文件</w:t>
      </w:r>
    </w:p>
    <w:p>
      <w:pPr>
        <w:pStyle w:val="ContractClause"/>
      </w:pPr>
      <w:r>
        <w:rPr>
          <w:rFonts w:ascii="Noto Sans SC" w:hAnsi="Noto Sans SC" w:eastAsia="Noto Sans SC"/>
          <w:b/>
          <w:i w:val="0"/>
          <w:color w:val="16212B"/>
          <w:sz w:val="21"/>
        </w:rPr>
        <w:t xml:space="preserve">1.1 </w:t>
      </w:r>
      <w:r>
        <w:rPr>
          <w:rFonts w:ascii="Noto Sans SC" w:hAnsi="Noto Sans SC" w:eastAsia="Noto Sans SC"/>
          <w:b w:val="0"/>
          <w:i w:val="0"/>
          <w:color w:val="16212B"/>
          <w:sz w:val="21"/>
        </w:rPr>
        <w:t>“产品”指甲方拟上市的曜境 Pulse X2 智能手表及经甲方书面确认纳入本项目的表带、充电底座、应用程序和包装物。</w:t>
      </w:r>
    </w:p>
    <w:p>
      <w:pPr>
        <w:pStyle w:val="ContractClause"/>
      </w:pPr>
      <w:r>
        <w:rPr>
          <w:rFonts w:ascii="Noto Sans SC" w:hAnsi="Noto Sans SC" w:eastAsia="Noto Sans SC"/>
          <w:b/>
          <w:i w:val="0"/>
          <w:color w:val="16212B"/>
          <w:sz w:val="21"/>
        </w:rPr>
        <w:t xml:space="preserve">1.2 </w:t>
      </w:r>
      <w:r>
        <w:rPr>
          <w:rFonts w:ascii="Noto Sans SC" w:hAnsi="Noto Sans SC" w:eastAsia="Noto Sans SC"/>
          <w:b w:val="0"/>
          <w:i w:val="0"/>
          <w:color w:val="16212B"/>
          <w:sz w:val="21"/>
        </w:rPr>
        <w:t>“新闻稿”指围绕产品发布形成的中文通稿，包括一篇主新闻稿、一篇媒体问答和一套媒体素材包；媒体基于新闻稿自行采编形成的内容不当然视为乙方作品。</w:t>
      </w:r>
    </w:p>
    <w:p>
      <w:pPr>
        <w:pStyle w:val="ContractClause"/>
      </w:pPr>
      <w:r>
        <w:rPr>
          <w:rFonts w:ascii="Noto Sans SC" w:hAnsi="Noto Sans SC" w:eastAsia="Noto Sans SC"/>
          <w:b/>
          <w:i w:val="0"/>
          <w:color w:val="16212B"/>
          <w:sz w:val="21"/>
        </w:rPr>
        <w:t xml:space="preserve">1.3 </w:t>
      </w:r>
      <w:r>
        <w:rPr>
          <w:rFonts w:ascii="Noto Sans SC" w:hAnsi="Noto Sans SC" w:eastAsia="Noto Sans SC"/>
          <w:b w:val="0"/>
          <w:i w:val="0"/>
          <w:color w:val="16212B"/>
          <w:sz w:val="21"/>
        </w:rPr>
        <w:t>“KOL内容”指本合同项下创作者在小红书账号发布的图文笔记或视频笔记，以及经约定交付的封面、图片、短视频成片、标题、正文、话题标签、置顶评论等。</w:t>
      </w:r>
    </w:p>
    <w:p>
      <w:pPr>
        <w:pStyle w:val="ContractClause"/>
      </w:pPr>
      <w:r>
        <w:rPr>
          <w:rFonts w:ascii="Noto Sans SC" w:hAnsi="Noto Sans SC" w:eastAsia="Noto Sans SC"/>
          <w:b/>
          <w:i w:val="0"/>
          <w:color w:val="16212B"/>
          <w:sz w:val="21"/>
        </w:rPr>
        <w:t xml:space="preserve">1.4 </w:t>
      </w:r>
      <w:r>
        <w:rPr>
          <w:rFonts w:ascii="Noto Sans SC" w:hAnsi="Noto Sans SC" w:eastAsia="Noto Sans SC"/>
          <w:b w:val="0"/>
          <w:i w:val="0"/>
          <w:color w:val="16212B"/>
          <w:sz w:val="21"/>
        </w:rPr>
        <w:t>“上线”指相关内容在约定媒体或小红书账号处于公众可访问状态，并可通过有效链接或平台页面核验。</w:t>
      </w:r>
    </w:p>
    <w:p>
      <w:pPr>
        <w:pStyle w:val="ContractClause"/>
      </w:pPr>
      <w:r>
        <w:rPr>
          <w:rFonts w:ascii="Noto Sans SC" w:hAnsi="Noto Sans SC" w:eastAsia="Noto Sans SC"/>
          <w:b/>
          <w:i w:val="0"/>
          <w:color w:val="16212B"/>
          <w:sz w:val="21"/>
        </w:rPr>
        <w:t xml:space="preserve">1.5 </w:t>
      </w:r>
      <w:r>
        <w:rPr>
          <w:rFonts w:ascii="Noto Sans SC" w:hAnsi="Noto Sans SC" w:eastAsia="Noto Sans SC"/>
          <w:b w:val="0"/>
          <w:i w:val="0"/>
          <w:color w:val="16212B"/>
          <w:sz w:val="21"/>
        </w:rPr>
        <w:t>“工作日”指中国大陆地区法定工作日；如某一截止时间发生在非工作日，则顺延至下一个工作日，但已经明确为上市日、上线日或舆情处置时限的除外。</w:t>
      </w:r>
    </w:p>
    <w:p>
      <w:pPr>
        <w:pStyle w:val="ContractClause"/>
      </w:pPr>
      <w:r>
        <w:rPr>
          <w:rFonts w:ascii="Noto Sans SC" w:hAnsi="Noto Sans SC" w:eastAsia="Noto Sans SC"/>
          <w:b/>
          <w:i w:val="0"/>
          <w:color w:val="16212B"/>
          <w:sz w:val="21"/>
        </w:rPr>
        <w:t xml:space="preserve">1.6 </w:t>
      </w:r>
      <w:r>
        <w:rPr>
          <w:rFonts w:ascii="Noto Sans SC" w:hAnsi="Noto Sans SC" w:eastAsia="Noto Sans SC"/>
          <w:b w:val="0"/>
          <w:i w:val="0"/>
          <w:color w:val="16212B"/>
          <w:sz w:val="21"/>
        </w:rPr>
        <w:t>合同文件包括本合同正文、附件一至附件六、经双方授权代表确认的项目确认单和变更单。文件不一致时，签署时间在后的书面文件优先；同一签署时间的，主合同正文优先于附件，但变更单明确修改主合同的除外。</w:t>
      </w:r>
    </w:p>
    <w:p>
      <w:pPr>
        <w:pStyle w:val="Heading1"/>
        <w:keepNext/>
        <w:pageBreakBefore w:val="0"/>
      </w:pPr>
      <w:r>
        <w:rPr>
          <w:rFonts w:ascii="Noto Sans SC" w:hAnsi="Noto Sans SC" w:eastAsia="Noto Sans SC"/>
          <w:b/>
          <w:i w:val="0"/>
          <w:color w:val="16212B"/>
          <w:sz w:val="28"/>
        </w:rPr>
        <w:t>第二条 项目目标与基本原则</w:t>
      </w:r>
    </w:p>
    <w:p>
      <w:pPr>
        <w:pStyle w:val="ContractClause"/>
      </w:pPr>
      <w:r>
        <w:rPr>
          <w:rFonts w:ascii="Noto Sans SC" w:hAnsi="Noto Sans SC" w:eastAsia="Noto Sans SC"/>
          <w:b/>
          <w:i w:val="0"/>
          <w:color w:val="16212B"/>
          <w:sz w:val="21"/>
        </w:rPr>
        <w:t xml:space="preserve">2.1 </w:t>
      </w:r>
      <w:r>
        <w:rPr>
          <w:rFonts w:ascii="Noto Sans SC" w:hAnsi="Noto Sans SC" w:eastAsia="Noto Sans SC"/>
          <w:b w:val="0"/>
          <w:i w:val="0"/>
          <w:color w:val="16212B"/>
          <w:sz w:val="21"/>
        </w:rPr>
        <w:t>项目目标为：在产品上市窗口形成可信、可检索的新品信息覆盖；通过真实体验内容解释产品在通勤、运动、睡眠管理等场景中的使用价值；积累可由甲方复用的合规内容资产。</w:t>
      </w:r>
    </w:p>
    <w:p>
      <w:pPr>
        <w:pStyle w:val="ContractClause"/>
      </w:pPr>
      <w:r>
        <w:rPr>
          <w:rFonts w:ascii="Noto Sans SC" w:hAnsi="Noto Sans SC" w:eastAsia="Noto Sans SC"/>
          <w:b/>
          <w:i w:val="0"/>
          <w:color w:val="16212B"/>
          <w:sz w:val="21"/>
        </w:rPr>
        <w:t xml:space="preserve">2.2 </w:t>
      </w:r>
      <w:r>
        <w:rPr>
          <w:rFonts w:ascii="Noto Sans SC" w:hAnsi="Noto Sans SC" w:eastAsia="Noto Sans SC"/>
          <w:b w:val="0"/>
          <w:i w:val="0"/>
          <w:color w:val="16212B"/>
          <w:sz w:val="21"/>
        </w:rPr>
        <w:t>乙方应依附件一完成策略、新闻稿、媒体发布、KOL招募与履约、内容审核协调、监测和结案报告。除附件明确列明外，线下发布会、明星代言、直播带货、电商投流、硬广采买、搜索优化、海外传播及消费者抽奖不在服务范围内。</w:t>
      </w:r>
    </w:p>
    <w:p>
      <w:pPr>
        <w:pStyle w:val="ContractClause"/>
      </w:pPr>
      <w:r>
        <w:rPr>
          <w:rFonts w:ascii="Noto Sans SC" w:hAnsi="Noto Sans SC" w:eastAsia="Noto Sans SC"/>
          <w:b/>
          <w:i w:val="0"/>
          <w:color w:val="16212B"/>
          <w:sz w:val="21"/>
        </w:rPr>
        <w:t xml:space="preserve">2.3 </w:t>
      </w:r>
      <w:r>
        <w:rPr>
          <w:rFonts w:ascii="Noto Sans SC" w:hAnsi="Noto Sans SC" w:eastAsia="Noto Sans SC"/>
          <w:b w:val="0"/>
          <w:i w:val="0"/>
          <w:color w:val="16212B"/>
          <w:sz w:val="21"/>
        </w:rPr>
        <w:t>双方确认媒体编辑判断、平台审核、用户互动及算法分发具有不确定性。乙方对约定的工作、发布数量、账号条件、内容质量和证据材料负责，不对销量、搜索指数、自然曝光量或舆论结果作绝对保证。</w:t>
      </w:r>
    </w:p>
    <w:p>
      <w:pPr>
        <w:pStyle w:val="ContractClause"/>
      </w:pPr>
      <w:r>
        <w:rPr>
          <w:rFonts w:ascii="Noto Sans SC" w:hAnsi="Noto Sans SC" w:eastAsia="Noto Sans SC"/>
          <w:b/>
          <w:i w:val="0"/>
          <w:color w:val="16212B"/>
          <w:sz w:val="21"/>
        </w:rPr>
        <w:t xml:space="preserve">2.4 </w:t>
      </w:r>
      <w:r>
        <w:rPr>
          <w:rFonts w:ascii="Noto Sans SC" w:hAnsi="Noto Sans SC" w:eastAsia="Noto Sans SC"/>
          <w:b w:val="0"/>
          <w:i w:val="0"/>
          <w:color w:val="16212B"/>
          <w:sz w:val="21"/>
        </w:rPr>
        <w:t>任何传播不得以规避平台商业合作申报、广告标识或税务要求为目的。甲方不得要求乙方或KOL以“自发分享”名义发布实为有偿的内容。</w:t>
      </w:r>
    </w:p>
    <w:p>
      <w:pPr>
        <w:pStyle w:val="Heading1"/>
        <w:keepNext/>
        <w:pageBreakBefore w:val="0"/>
      </w:pPr>
      <w:r>
        <w:rPr>
          <w:rFonts w:ascii="Noto Sans SC" w:hAnsi="Noto Sans SC" w:eastAsia="Noto Sans SC"/>
          <w:b/>
          <w:i w:val="0"/>
          <w:color w:val="16212B"/>
          <w:sz w:val="28"/>
        </w:rPr>
        <w:t>第三条 服务范围</w:t>
      </w:r>
    </w:p>
    <w:p>
      <w:pPr>
        <w:pStyle w:val="ContractClause"/>
      </w:pPr>
      <w:r>
        <w:rPr>
          <w:rFonts w:ascii="Noto Sans SC" w:hAnsi="Noto Sans SC" w:eastAsia="Noto Sans SC"/>
          <w:b/>
          <w:i w:val="0"/>
          <w:color w:val="16212B"/>
          <w:sz w:val="21"/>
        </w:rPr>
        <w:t xml:space="preserve">3.1 </w:t>
      </w:r>
      <w:r>
        <w:rPr>
          <w:rFonts w:ascii="Noto Sans SC" w:hAnsi="Noto Sans SC" w:eastAsia="Noto Sans SC"/>
          <w:b w:val="0"/>
          <w:i w:val="0"/>
          <w:color w:val="16212B"/>
          <w:sz w:val="21"/>
        </w:rPr>
        <w:t>项目策略：乙方应在项目启动后五个工作日内提交传播策略、信息屋、受众画像、媒体角度、KOL内容方向、项目排期和风险清单各一份。</w:t>
      </w:r>
    </w:p>
    <w:p>
      <w:pPr>
        <w:pStyle w:val="ContractClause"/>
      </w:pPr>
      <w:r>
        <w:rPr>
          <w:rFonts w:ascii="Noto Sans SC" w:hAnsi="Noto Sans SC" w:eastAsia="Noto Sans SC"/>
          <w:b/>
          <w:i w:val="0"/>
          <w:color w:val="16212B"/>
          <w:sz w:val="21"/>
        </w:rPr>
        <w:t xml:space="preserve">3.2 </w:t>
      </w:r>
      <w:r>
        <w:rPr>
          <w:rFonts w:ascii="Noto Sans SC" w:hAnsi="Noto Sans SC" w:eastAsia="Noto Sans SC"/>
          <w:b w:val="0"/>
          <w:i w:val="0"/>
          <w:color w:val="16212B"/>
          <w:sz w:val="21"/>
        </w:rPr>
        <w:t>新闻稿与素材：乙方应完成一篇不少于1,500字的新品主新闻稿、一份不少于15组问答的媒体Q&amp;A、一份产品事实表及一套媒体素材包。甲方提供产品图片、参数、检测或认证资料；乙方完成编辑、排版和发布适配。</w:t>
      </w:r>
    </w:p>
    <w:p>
      <w:pPr>
        <w:pStyle w:val="ContractClause"/>
      </w:pPr>
      <w:r>
        <w:rPr>
          <w:rFonts w:ascii="Noto Sans SC" w:hAnsi="Noto Sans SC" w:eastAsia="Noto Sans SC"/>
          <w:b/>
          <w:i w:val="0"/>
          <w:color w:val="16212B"/>
          <w:sz w:val="21"/>
        </w:rPr>
        <w:t xml:space="preserve">3.3 </w:t>
      </w:r>
      <w:r>
        <w:rPr>
          <w:rFonts w:ascii="Noto Sans SC" w:hAnsi="Noto Sans SC" w:eastAsia="Noto Sans SC"/>
          <w:b w:val="0"/>
          <w:i w:val="0"/>
          <w:color w:val="16212B"/>
          <w:sz w:val="21"/>
        </w:rPr>
        <w:t>媒体发布：乙方应按照附件二完成20个有效媒体发布位，其中核心媒体8个、扩散媒体12个。媒体不得擅自改变产品型号、上市时间、建议零售价及甲方书面确认的关键参数。</w:t>
      </w:r>
    </w:p>
    <w:p>
      <w:pPr>
        <w:pStyle w:val="ContractClause"/>
      </w:pPr>
      <w:r>
        <w:rPr>
          <w:rFonts w:ascii="Noto Sans SC" w:hAnsi="Noto Sans SC" w:eastAsia="Noto Sans SC"/>
          <w:b/>
          <w:i w:val="0"/>
          <w:color w:val="16212B"/>
          <w:sz w:val="21"/>
        </w:rPr>
        <w:t xml:space="preserve">3.4 </w:t>
      </w:r>
      <w:r>
        <w:rPr>
          <w:rFonts w:ascii="Noto Sans SC" w:hAnsi="Noto Sans SC" w:eastAsia="Noto Sans SC"/>
          <w:b w:val="0"/>
          <w:i w:val="0"/>
          <w:color w:val="16212B"/>
          <w:sz w:val="21"/>
        </w:rPr>
        <w:t>KOL传播：乙方应组织12个小红书账号发布12篇内容，其中视频笔记不少于4篇、图文笔记不少于8篇；具体账号层级、垂类、内容形式、上线窗口及报价上限见附件三。</w:t>
      </w:r>
    </w:p>
    <w:p>
      <w:pPr>
        <w:pStyle w:val="ContractClause"/>
      </w:pPr>
      <w:r>
        <w:rPr>
          <w:rFonts w:ascii="Noto Sans SC" w:hAnsi="Noto Sans SC" w:eastAsia="Noto Sans SC"/>
          <w:b/>
          <w:i w:val="0"/>
          <w:color w:val="16212B"/>
          <w:sz w:val="21"/>
        </w:rPr>
        <w:t xml:space="preserve">3.5 </w:t>
      </w:r>
      <w:r>
        <w:rPr>
          <w:rFonts w:ascii="Noto Sans SC" w:hAnsi="Noto Sans SC" w:eastAsia="Noto Sans SC"/>
          <w:b w:val="0"/>
          <w:i w:val="0"/>
          <w:color w:val="16212B"/>
          <w:sz w:val="21"/>
        </w:rPr>
        <w:t>项目管理：乙方应指定一名项目负责人和一名内容负责人，建立周度进度表；上市日前十个自然日进入每日更新机制，报告账号签约、寄样、脚本、审稿、发布和风险事项。</w:t>
      </w:r>
    </w:p>
    <w:p>
      <w:pPr>
        <w:pStyle w:val="ContractClause"/>
      </w:pPr>
      <w:r>
        <w:rPr>
          <w:rFonts w:ascii="Noto Sans SC" w:hAnsi="Noto Sans SC" w:eastAsia="Noto Sans SC"/>
          <w:b/>
          <w:i w:val="0"/>
          <w:color w:val="16212B"/>
          <w:sz w:val="21"/>
        </w:rPr>
        <w:t xml:space="preserve">3.6 </w:t>
      </w:r>
      <w:r>
        <w:rPr>
          <w:rFonts w:ascii="Noto Sans SC" w:hAnsi="Noto Sans SC" w:eastAsia="Noto Sans SC"/>
          <w:b w:val="0"/>
          <w:i w:val="0"/>
          <w:color w:val="16212B"/>
          <w:sz w:val="21"/>
        </w:rPr>
        <w:t>监测结案：乙方应在最后一篇KOL内容上线后十个工作日内提交结案报告，至少包括发布链接、截图、上线时间、内容形态、平台可见数据、异常情况、费用执行和优化建议。</w:t>
      </w:r>
    </w:p>
    <w:p>
      <w:pPr>
        <w:pStyle w:val="Heading1"/>
        <w:keepNext/>
        <w:pageBreakBefore w:val="0"/>
      </w:pPr>
      <w:r>
        <w:rPr>
          <w:rFonts w:ascii="Noto Sans SC" w:hAnsi="Noto Sans SC" w:eastAsia="Noto Sans SC"/>
          <w:b/>
          <w:i w:val="0"/>
          <w:color w:val="16212B"/>
          <w:sz w:val="28"/>
        </w:rPr>
        <w:t>第四条 项目排期与双方协作</w:t>
      </w:r>
    </w:p>
    <w:p>
      <w:pPr>
        <w:pStyle w:val="ContractClause"/>
      </w:pPr>
      <w:r>
        <w:rPr>
          <w:rFonts w:ascii="Noto Sans SC" w:hAnsi="Noto Sans SC" w:eastAsia="Noto Sans SC"/>
          <w:b/>
          <w:i w:val="0"/>
          <w:color w:val="16212B"/>
          <w:sz w:val="21"/>
        </w:rPr>
        <w:t xml:space="preserve">4.1 </w:t>
      </w:r>
      <w:r>
        <w:rPr>
          <w:rFonts w:ascii="Noto Sans SC" w:hAnsi="Noto Sans SC" w:eastAsia="Noto Sans SC"/>
          <w:b w:val="0"/>
          <w:i w:val="0"/>
          <w:color w:val="16212B"/>
          <w:sz w:val="21"/>
        </w:rPr>
        <w:t>项目启动日为2026年9月1日，产品计划上市日为2026年10月15日，项目结束日为2026年11月30日。关键里程碑见附件一。</w:t>
      </w:r>
    </w:p>
    <w:p>
      <w:pPr>
        <w:pStyle w:val="ContractClause"/>
      </w:pPr>
      <w:r>
        <w:rPr>
          <w:rFonts w:ascii="Noto Sans SC" w:hAnsi="Noto Sans SC" w:eastAsia="Noto Sans SC"/>
          <w:b/>
          <w:i w:val="0"/>
          <w:color w:val="16212B"/>
          <w:sz w:val="21"/>
        </w:rPr>
        <w:t xml:space="preserve">4.2 </w:t>
      </w:r>
      <w:r>
        <w:rPr>
          <w:rFonts w:ascii="Noto Sans SC" w:hAnsi="Noto Sans SC" w:eastAsia="Noto Sans SC"/>
          <w:b w:val="0"/>
          <w:i w:val="0"/>
          <w:color w:val="16212B"/>
          <w:sz w:val="21"/>
        </w:rPr>
        <w:t>甲方应按排期提供产品参数、功能说明、价格政策、品牌视觉、样机、检测或认证材料、禁用表述和授权素材，并保证其真实、完整、合法且可用于本项目。</w:t>
      </w:r>
    </w:p>
    <w:p>
      <w:pPr>
        <w:pStyle w:val="ContractClause"/>
      </w:pPr>
      <w:r>
        <w:rPr>
          <w:rFonts w:ascii="Noto Sans SC" w:hAnsi="Noto Sans SC" w:eastAsia="Noto Sans SC"/>
          <w:b/>
          <w:i w:val="0"/>
          <w:color w:val="16212B"/>
          <w:sz w:val="21"/>
        </w:rPr>
        <w:t xml:space="preserve">4.3 </w:t>
      </w:r>
      <w:r>
        <w:rPr>
          <w:rFonts w:ascii="Noto Sans SC" w:hAnsi="Noto Sans SC" w:eastAsia="Noto Sans SC"/>
          <w:b w:val="0"/>
          <w:i w:val="0"/>
          <w:color w:val="16212B"/>
          <w:sz w:val="21"/>
        </w:rPr>
        <w:t>甲方应由一个统一窗口汇总反馈。涉及产品事实、法务合规和品牌表达的意见发生冲突时，甲方应在内部协调后向乙方发出单一版本。</w:t>
      </w:r>
    </w:p>
    <w:p>
      <w:pPr>
        <w:pStyle w:val="ContractClause"/>
      </w:pPr>
      <w:r>
        <w:rPr>
          <w:rFonts w:ascii="Noto Sans SC" w:hAnsi="Noto Sans SC" w:eastAsia="Noto Sans SC"/>
          <w:b/>
          <w:i w:val="0"/>
          <w:color w:val="16212B"/>
          <w:sz w:val="21"/>
        </w:rPr>
        <w:t xml:space="preserve">4.4 </w:t>
      </w:r>
      <w:r>
        <w:rPr>
          <w:rFonts w:ascii="Noto Sans SC" w:hAnsi="Noto Sans SC" w:eastAsia="Noto Sans SC"/>
          <w:b w:val="0"/>
          <w:i w:val="0"/>
          <w:color w:val="16212B"/>
          <w:sz w:val="21"/>
        </w:rPr>
        <w:t>乙方提交材料后，甲方原则上应在两个工作日内书面反馈；上市日前七个自然日内提交的紧急材料，甲方应在24小时内反馈。未按时反馈导致排期受影响的，乙方可等期顺延；但乙方不得仅以甲方沉默视为对医疗功效、绝对化用语、对比结论或第三方权利内容的批准。</w:t>
      </w:r>
    </w:p>
    <w:p>
      <w:pPr>
        <w:pStyle w:val="ContractClause"/>
      </w:pPr>
      <w:r>
        <w:rPr>
          <w:rFonts w:ascii="Noto Sans SC" w:hAnsi="Noto Sans SC" w:eastAsia="Noto Sans SC"/>
          <w:b/>
          <w:i w:val="0"/>
          <w:color w:val="16212B"/>
          <w:sz w:val="21"/>
        </w:rPr>
        <w:t xml:space="preserve">4.5 </w:t>
      </w:r>
      <w:r>
        <w:rPr>
          <w:rFonts w:ascii="Noto Sans SC" w:hAnsi="Noto Sans SC" w:eastAsia="Noto Sans SC"/>
          <w:b w:val="0"/>
          <w:i w:val="0"/>
          <w:color w:val="16212B"/>
          <w:sz w:val="21"/>
        </w:rPr>
        <w:t>双方通过加盖公章的文件、电子签约系统、合同所列电子邮箱或经双方确认的企业微信项目群作出确认。涉及价款、服务数量、授权范围、责任限制和解除的变更，必须由双方授权代表签署变更单。</w:t>
      </w:r>
    </w:p>
    <w:p>
      <w:pPr>
        <w:pStyle w:val="Heading1"/>
        <w:keepNext/>
        <w:pageBreakBefore w:val="0"/>
      </w:pPr>
      <w:r>
        <w:rPr>
          <w:rFonts w:ascii="Noto Sans SC" w:hAnsi="Noto Sans SC" w:eastAsia="Noto Sans SC"/>
          <w:b/>
          <w:i w:val="0"/>
          <w:color w:val="16212B"/>
          <w:sz w:val="28"/>
        </w:rPr>
        <w:t>第五条 新闻稿制作与媒体发布</w:t>
      </w:r>
    </w:p>
    <w:p>
      <w:pPr>
        <w:pStyle w:val="ContractClause"/>
      </w:pPr>
      <w:r>
        <w:rPr>
          <w:rFonts w:ascii="Noto Sans SC" w:hAnsi="Noto Sans SC" w:eastAsia="Noto Sans SC"/>
          <w:b/>
          <w:i w:val="0"/>
          <w:color w:val="16212B"/>
          <w:sz w:val="21"/>
        </w:rPr>
        <w:t xml:space="preserve">5.1 </w:t>
      </w:r>
      <w:r>
        <w:rPr>
          <w:rFonts w:ascii="Noto Sans SC" w:hAnsi="Noto Sans SC" w:eastAsia="Noto Sans SC"/>
          <w:b w:val="0"/>
          <w:i w:val="0"/>
          <w:color w:val="16212B"/>
          <w:sz w:val="21"/>
        </w:rPr>
        <w:t>乙方应基于甲方确认的信息屋起草新闻稿。新闻稿至少经历初稿、整合修改稿和发布稿三个版本；合同价格包含两轮基于同一方向的合理修改。因甲方改变产品定位、核心卖点或上市安排造成的重写，按变更管理处理。</w:t>
      </w:r>
    </w:p>
    <w:p>
      <w:pPr>
        <w:pStyle w:val="ContractClause"/>
      </w:pPr>
      <w:r>
        <w:rPr>
          <w:rFonts w:ascii="Noto Sans SC" w:hAnsi="Noto Sans SC" w:eastAsia="Noto Sans SC"/>
          <w:b/>
          <w:i w:val="0"/>
          <w:color w:val="16212B"/>
          <w:sz w:val="21"/>
        </w:rPr>
        <w:t xml:space="preserve">5.2 </w:t>
      </w:r>
      <w:r>
        <w:rPr>
          <w:rFonts w:ascii="Noto Sans SC" w:hAnsi="Noto Sans SC" w:eastAsia="Noto Sans SC"/>
          <w:b w:val="0"/>
          <w:i w:val="0"/>
          <w:color w:val="16212B"/>
          <w:sz w:val="21"/>
        </w:rPr>
        <w:t>附件二所列媒体为本项目的选定发布池。核心媒体无法接受发布的，乙方应在上线日前书面说明原因，并提出同等级、同垂类的替代媒体，经甲方确认后替换。未经甲方确认，不得以地方资讯站、自媒体转载号或不可检索页面替代核心媒体。</w:t>
      </w:r>
    </w:p>
    <w:p>
      <w:pPr>
        <w:pStyle w:val="ContractClause"/>
      </w:pPr>
      <w:r>
        <w:rPr>
          <w:rFonts w:ascii="Noto Sans SC" w:hAnsi="Noto Sans SC" w:eastAsia="Noto Sans SC"/>
          <w:b/>
          <w:i w:val="0"/>
          <w:color w:val="16212B"/>
          <w:sz w:val="21"/>
        </w:rPr>
        <w:t xml:space="preserve">5.3 </w:t>
      </w:r>
      <w:r>
        <w:rPr>
          <w:rFonts w:ascii="Noto Sans SC" w:hAnsi="Noto Sans SC" w:eastAsia="Noto Sans SC"/>
          <w:b w:val="0"/>
          <w:i w:val="0"/>
          <w:color w:val="16212B"/>
          <w:sz w:val="21"/>
        </w:rPr>
        <w:t>有效媒体发布应同时满足：页面可公开访问；标题或正文明确出现产品全称；正文主要信息与最终发布稿一致；上线时间落在约定窗口；链接持续可访问不少于180日。媒体网站改版、停运或依法删除的除外。</w:t>
      </w:r>
    </w:p>
    <w:p>
      <w:pPr>
        <w:pStyle w:val="ContractClause"/>
      </w:pPr>
      <w:r>
        <w:rPr>
          <w:rFonts w:ascii="Noto Sans SC" w:hAnsi="Noto Sans SC" w:eastAsia="Noto Sans SC"/>
          <w:b/>
          <w:i w:val="0"/>
          <w:color w:val="16212B"/>
          <w:sz w:val="21"/>
        </w:rPr>
        <w:t xml:space="preserve">5.4 </w:t>
      </w:r>
      <w:r>
        <w:rPr>
          <w:rFonts w:ascii="Noto Sans SC" w:hAnsi="Noto Sans SC" w:eastAsia="Noto Sans SC"/>
          <w:b w:val="0"/>
          <w:i w:val="0"/>
          <w:color w:val="16212B"/>
          <w:sz w:val="21"/>
        </w:rPr>
        <w:t>媒体有权依据编辑规范调整标题、导语和版式。涉及价格、上市日期、核心功能、性能数据、医疗健康表述或竞品比较的实质改动，乙方应在上线前获得甲方书面确认。</w:t>
      </w:r>
    </w:p>
    <w:p>
      <w:pPr>
        <w:pStyle w:val="ContractClause"/>
      </w:pPr>
      <w:r>
        <w:rPr>
          <w:rFonts w:ascii="Noto Sans SC" w:hAnsi="Noto Sans SC" w:eastAsia="Noto Sans SC"/>
          <w:b/>
          <w:i w:val="0"/>
          <w:color w:val="16212B"/>
          <w:sz w:val="21"/>
        </w:rPr>
        <w:t xml:space="preserve">5.5 </w:t>
      </w:r>
      <w:r>
        <w:rPr>
          <w:rFonts w:ascii="Noto Sans SC" w:hAnsi="Noto Sans SC" w:eastAsia="Noto Sans SC"/>
          <w:b w:val="0"/>
          <w:i w:val="0"/>
          <w:color w:val="16212B"/>
          <w:sz w:val="21"/>
        </w:rPr>
        <w:t>如媒体或法律法规要求标注“广告”“推广”“商业合作”或类似标识，乙方应按要求执行，不得以验收或传播效果为由要求省略。</w:t>
      </w:r>
    </w:p>
    <w:p>
      <w:pPr>
        <w:pStyle w:val="ContractClause"/>
      </w:pPr>
      <w:r>
        <w:rPr>
          <w:rFonts w:ascii="Noto Sans SC" w:hAnsi="Noto Sans SC" w:eastAsia="Noto Sans SC"/>
          <w:b/>
          <w:i w:val="0"/>
          <w:color w:val="16212B"/>
          <w:sz w:val="21"/>
        </w:rPr>
        <w:t xml:space="preserve">5.6 </w:t>
      </w:r>
      <w:r>
        <w:rPr>
          <w:rFonts w:ascii="Noto Sans SC" w:hAnsi="Noto Sans SC" w:eastAsia="Noto Sans SC"/>
          <w:b w:val="0"/>
          <w:i w:val="0"/>
          <w:color w:val="16212B"/>
          <w:sz w:val="21"/>
        </w:rPr>
        <w:t>同一媒体域名下的不同频道、镜像页或移动端页面仅计一个发布位；仅被搜索引擎收录但无法打开正文的页面不计入。</w:t>
      </w:r>
    </w:p>
    <w:p>
      <w:pPr>
        <w:pStyle w:val="Heading1"/>
        <w:keepNext/>
        <w:pageBreakBefore w:val="0"/>
      </w:pPr>
      <w:r>
        <w:rPr>
          <w:rFonts w:ascii="Noto Sans SC" w:hAnsi="Noto Sans SC" w:eastAsia="Noto Sans SC"/>
          <w:b/>
          <w:i w:val="0"/>
          <w:color w:val="16212B"/>
          <w:sz w:val="28"/>
        </w:rPr>
        <w:t>第六条 KOL选择、签约与履约</w:t>
      </w:r>
    </w:p>
    <w:p>
      <w:pPr>
        <w:pStyle w:val="ContractClause"/>
      </w:pPr>
      <w:r>
        <w:rPr>
          <w:rFonts w:ascii="Noto Sans SC" w:hAnsi="Noto Sans SC" w:eastAsia="Noto Sans SC"/>
          <w:b/>
          <w:i w:val="0"/>
          <w:color w:val="16212B"/>
          <w:sz w:val="21"/>
        </w:rPr>
        <w:t xml:space="preserve">6.1 </w:t>
      </w:r>
      <w:r>
        <w:rPr>
          <w:rFonts w:ascii="Noto Sans SC" w:hAnsi="Noto Sans SC" w:eastAsia="Noto Sans SC"/>
          <w:b w:val="0"/>
          <w:i w:val="0"/>
          <w:color w:val="16212B"/>
          <w:sz w:val="21"/>
        </w:rPr>
        <w:t>乙方应在2026年9月10日前提交不少于18个候选账号，供甲方选择12个正式账号及4个备选账号。候选资料应包括账号名称、平台号、主页链接、粉丝量、近30篇内容中位互动量、受众画像、历史竞品合作、报价、档期及异常数据说明。</w:t>
      </w:r>
    </w:p>
    <w:p>
      <w:pPr>
        <w:pStyle w:val="ContractClause"/>
      </w:pPr>
      <w:r>
        <w:rPr>
          <w:rFonts w:ascii="Noto Sans SC" w:hAnsi="Noto Sans SC" w:eastAsia="Noto Sans SC"/>
          <w:b/>
          <w:i w:val="0"/>
          <w:color w:val="16212B"/>
          <w:sz w:val="21"/>
        </w:rPr>
        <w:t xml:space="preserve">6.2 </w:t>
      </w:r>
      <w:r>
        <w:rPr>
          <w:rFonts w:ascii="Noto Sans SC" w:hAnsi="Noto Sans SC" w:eastAsia="Noto Sans SC"/>
          <w:b w:val="0"/>
          <w:i w:val="0"/>
          <w:color w:val="16212B"/>
          <w:sz w:val="21"/>
        </w:rPr>
        <w:t>未经甲方书面同意，乙方不得以粉丝量、近30篇内容中位互动量及商业报价均显著低于已确认账号的资源替换。正式账号在发布前因封禁、健康、不可抗力或平台原因无法履约的，乙方应优先启用备选账号。</w:t>
      </w:r>
    </w:p>
    <w:p>
      <w:pPr>
        <w:pStyle w:val="ContractClause"/>
      </w:pPr>
      <w:r>
        <w:rPr>
          <w:rFonts w:ascii="Noto Sans SC" w:hAnsi="Noto Sans SC" w:eastAsia="Noto Sans SC"/>
          <w:b/>
          <w:i w:val="0"/>
          <w:color w:val="16212B"/>
          <w:sz w:val="21"/>
        </w:rPr>
        <w:t xml:space="preserve">6.3 </w:t>
      </w:r>
      <w:r>
        <w:rPr>
          <w:rFonts w:ascii="Noto Sans SC" w:hAnsi="Noto Sans SC" w:eastAsia="Noto Sans SC"/>
          <w:b w:val="0"/>
          <w:i w:val="0"/>
          <w:color w:val="16212B"/>
          <w:sz w:val="21"/>
        </w:rPr>
        <w:t>乙方应与KOL或其合法经纪主体签署书面协议，确保KOL承担内容制作、亲自体验、按期交付、广告标识、数据真实、竞品排他、内容留存、授权和违约责任。甲方有权要求乙方提供隐去价格及无关商业信息后的关键条款证明。</w:t>
      </w:r>
    </w:p>
    <w:p>
      <w:pPr>
        <w:pStyle w:val="ContractClause"/>
      </w:pPr>
      <w:r>
        <w:rPr>
          <w:rFonts w:ascii="Noto Sans SC" w:hAnsi="Noto Sans SC" w:eastAsia="Noto Sans SC"/>
          <w:b/>
          <w:i w:val="0"/>
          <w:color w:val="16212B"/>
          <w:sz w:val="21"/>
        </w:rPr>
        <w:t xml:space="preserve">6.4 </w:t>
      </w:r>
      <w:r>
        <w:rPr>
          <w:rFonts w:ascii="Noto Sans SC" w:hAnsi="Noto Sans SC" w:eastAsia="Noto Sans SC"/>
          <w:b w:val="0"/>
          <w:i w:val="0"/>
          <w:color w:val="16212B"/>
          <w:sz w:val="21"/>
        </w:rPr>
        <w:t>KOL应在收到可正常使用的样机后至少连续体验七日，其中运动类账号应完成不少于两次户外或室内运动记录；睡眠相关内容应基于不少于三晚的实际佩戴记录。无法完成体验的，不得以预设结论替代。</w:t>
      </w:r>
    </w:p>
    <w:p>
      <w:pPr>
        <w:pStyle w:val="ContractClause"/>
      </w:pPr>
      <w:r>
        <w:rPr>
          <w:rFonts w:ascii="Noto Sans SC" w:hAnsi="Noto Sans SC" w:eastAsia="Noto Sans SC"/>
          <w:b/>
          <w:i w:val="0"/>
          <w:color w:val="16212B"/>
          <w:sz w:val="21"/>
        </w:rPr>
        <w:t xml:space="preserve">6.5 </w:t>
      </w:r>
      <w:r>
        <w:rPr>
          <w:rFonts w:ascii="Noto Sans SC" w:hAnsi="Noto Sans SC" w:eastAsia="Noto Sans SC"/>
          <w:b w:val="0"/>
          <w:i w:val="0"/>
          <w:color w:val="16212B"/>
          <w:sz w:val="21"/>
        </w:rPr>
        <w:t>KOL内容应保留其账号惯常表达方式。甲方可以就事实、合规、品牌安全和合同交付提出修改，但不得要求KOL作出其未实际形成的主观体验、虚构使用场景或伪造比较结果。</w:t>
      </w:r>
    </w:p>
    <w:p>
      <w:pPr>
        <w:pStyle w:val="ContractClause"/>
      </w:pPr>
      <w:r>
        <w:rPr>
          <w:rFonts w:ascii="Noto Sans SC" w:hAnsi="Noto Sans SC" w:eastAsia="Noto Sans SC"/>
          <w:b/>
          <w:i w:val="0"/>
          <w:color w:val="16212B"/>
          <w:sz w:val="21"/>
        </w:rPr>
        <w:t xml:space="preserve">6.6 </w:t>
      </w:r>
      <w:r>
        <w:rPr>
          <w:rFonts w:ascii="Noto Sans SC" w:hAnsi="Noto Sans SC" w:eastAsia="Noto Sans SC"/>
          <w:b w:val="0"/>
          <w:i w:val="0"/>
          <w:color w:val="16212B"/>
          <w:sz w:val="21"/>
        </w:rPr>
        <w:t>正式账号自内容上线前15日内至上线后30日内，不得发布以Apple Watch、华为WATCH、小米Watch、OPPO Watch、vivo WATCH、三星Galaxy Watch或其他智能手表为核心推广对象的有偿内容。未经甲方书面同意，该排他义务不延伸至手机、耳机、手环或泛运动装备。</w:t>
      </w:r>
    </w:p>
    <w:p>
      <w:pPr>
        <w:pStyle w:val="ContractClause"/>
      </w:pPr>
      <w:r>
        <w:rPr>
          <w:rFonts w:ascii="Noto Sans SC" w:hAnsi="Noto Sans SC" w:eastAsia="Noto Sans SC"/>
          <w:b/>
          <w:i w:val="0"/>
          <w:color w:val="16212B"/>
          <w:sz w:val="21"/>
        </w:rPr>
        <w:t xml:space="preserve">6.7 </w:t>
      </w:r>
      <w:r>
        <w:rPr>
          <w:rFonts w:ascii="Noto Sans SC" w:hAnsi="Noto Sans SC" w:eastAsia="Noto Sans SC"/>
          <w:b w:val="0"/>
          <w:i w:val="0"/>
          <w:color w:val="16212B"/>
          <w:sz w:val="21"/>
        </w:rPr>
        <w:t>KOL内容应至少留存180日。因KOL自身原因在留存期内删除、隐藏或设为仅自己可见的，乙方应在三个工作日内恢复，或提供原账号补发；无法恢复或补发的，应安排同等级替代账号发布，相关费用由乙方承担。</w:t>
      </w:r>
    </w:p>
    <w:p>
      <w:pPr>
        <w:pStyle w:val="Heading1"/>
        <w:keepNext/>
        <w:pageBreakBefore w:val="0"/>
      </w:pPr>
      <w:r>
        <w:rPr>
          <w:rFonts w:ascii="Noto Sans SC" w:hAnsi="Noto Sans SC" w:eastAsia="Noto Sans SC"/>
          <w:b/>
          <w:i w:val="0"/>
          <w:color w:val="16212B"/>
          <w:sz w:val="28"/>
        </w:rPr>
        <w:t>第七条 内容方案、审核与上线</w:t>
      </w:r>
    </w:p>
    <w:p>
      <w:pPr>
        <w:pStyle w:val="ContractClause"/>
      </w:pPr>
      <w:r>
        <w:rPr>
          <w:rFonts w:ascii="Noto Sans SC" w:hAnsi="Noto Sans SC" w:eastAsia="Noto Sans SC"/>
          <w:b/>
          <w:i w:val="0"/>
          <w:color w:val="16212B"/>
          <w:sz w:val="21"/>
        </w:rPr>
        <w:t xml:space="preserve">7.1 </w:t>
      </w:r>
      <w:r>
        <w:rPr>
          <w:rFonts w:ascii="Noto Sans SC" w:hAnsi="Noto Sans SC" w:eastAsia="Noto Sans SC"/>
          <w:b w:val="0"/>
          <w:i w:val="0"/>
          <w:color w:val="16212B"/>
          <w:sz w:val="21"/>
        </w:rPr>
        <w:t>每位KOL应提交一页内容提纲，包含标题方向、核心场景、拟引用参数、画面清单、商业合作标识和上线日期；视频账号还应提交脚本或分镜。提纲经甲方确认后方可拍摄。</w:t>
      </w:r>
    </w:p>
    <w:p>
      <w:pPr>
        <w:pStyle w:val="ContractClause"/>
      </w:pPr>
      <w:r>
        <w:rPr>
          <w:rFonts w:ascii="Noto Sans SC" w:hAnsi="Noto Sans SC" w:eastAsia="Noto Sans SC"/>
          <w:b/>
          <w:i w:val="0"/>
          <w:color w:val="16212B"/>
          <w:sz w:val="21"/>
        </w:rPr>
        <w:t xml:space="preserve">7.2 </w:t>
      </w:r>
      <w:r>
        <w:rPr>
          <w:rFonts w:ascii="Noto Sans SC" w:hAnsi="Noto Sans SC" w:eastAsia="Noto Sans SC"/>
          <w:b w:val="0"/>
          <w:i w:val="0"/>
          <w:color w:val="16212B"/>
          <w:sz w:val="21"/>
        </w:rPr>
        <w:t>KOL初稿应至少在约定上线日前三个工作日提交。甲方对每篇内容享有两轮合理修改权：第一轮可覆盖事实、结构、品牌与合规；第二轮以核对前轮意见和必要微调为限。</w:t>
      </w:r>
    </w:p>
    <w:p>
      <w:pPr>
        <w:pStyle w:val="ContractClause"/>
      </w:pPr>
      <w:r>
        <w:rPr>
          <w:rFonts w:ascii="Noto Sans SC" w:hAnsi="Noto Sans SC" w:eastAsia="Noto Sans SC"/>
          <w:b/>
          <w:i w:val="0"/>
          <w:color w:val="16212B"/>
          <w:sz w:val="21"/>
        </w:rPr>
        <w:t xml:space="preserve">7.3 </w:t>
      </w:r>
      <w:r>
        <w:rPr>
          <w:rFonts w:ascii="Noto Sans SC" w:hAnsi="Noto Sans SC" w:eastAsia="Noto Sans SC"/>
          <w:b w:val="0"/>
          <w:i w:val="0"/>
          <w:color w:val="16212B"/>
          <w:sz w:val="21"/>
        </w:rPr>
        <w:t>甲方反馈不得改变已确认内容方向超过30%，不得在成片后新增必须补拍的核心场景。出现重大变更时，双方应确认新增费用和顺延时间；因乙方或KOL未按提纲制作产生的返工不另行收费。</w:t>
      </w:r>
    </w:p>
    <w:p>
      <w:pPr>
        <w:pStyle w:val="ContractClause"/>
      </w:pPr>
      <w:r>
        <w:rPr>
          <w:rFonts w:ascii="Noto Sans SC" w:hAnsi="Noto Sans SC" w:eastAsia="Noto Sans SC"/>
          <w:b/>
          <w:i w:val="0"/>
          <w:color w:val="16212B"/>
          <w:sz w:val="21"/>
        </w:rPr>
        <w:t xml:space="preserve">7.4 </w:t>
      </w:r>
      <w:r>
        <w:rPr>
          <w:rFonts w:ascii="Noto Sans SC" w:hAnsi="Noto Sans SC" w:eastAsia="Noto Sans SC"/>
          <w:b w:val="0"/>
          <w:i w:val="0"/>
          <w:color w:val="16212B"/>
          <w:sz w:val="21"/>
        </w:rPr>
        <w:t>发布前，乙方应核验标题、正文、画面、字幕、产品外观、链接、话题标签、广告标识和上线时间。任何未经甲方确认的版本不得上线；平台临时要求的非实质调整应在上线后两个小时内告知甲方。</w:t>
      </w:r>
    </w:p>
    <w:p>
      <w:pPr>
        <w:pStyle w:val="ContractClause"/>
      </w:pPr>
      <w:r>
        <w:rPr>
          <w:rFonts w:ascii="Noto Sans SC" w:hAnsi="Noto Sans SC" w:eastAsia="Noto Sans SC"/>
          <w:b/>
          <w:i w:val="0"/>
          <w:color w:val="16212B"/>
          <w:sz w:val="21"/>
        </w:rPr>
        <w:t xml:space="preserve">7.5 </w:t>
      </w:r>
      <w:r>
        <w:rPr>
          <w:rFonts w:ascii="Noto Sans SC" w:hAnsi="Noto Sans SC" w:eastAsia="Noto Sans SC"/>
          <w:b w:val="0"/>
          <w:i w:val="0"/>
          <w:color w:val="16212B"/>
          <w:sz w:val="21"/>
        </w:rPr>
        <w:t>发布后24小时内，乙方应提交链接和首屏、正文、广告标识截图；发布后7日及30日分别提交平台可见数据。涉及平台后台数据的，乙方应尽合理努力取得KOL后台截图。</w:t>
      </w:r>
    </w:p>
    <w:p>
      <w:pPr>
        <w:pStyle w:val="ContractClause"/>
      </w:pPr>
      <w:r>
        <w:rPr>
          <w:rFonts w:ascii="Noto Sans SC" w:hAnsi="Noto Sans SC" w:eastAsia="Noto Sans SC"/>
          <w:b/>
          <w:i w:val="0"/>
          <w:color w:val="16212B"/>
          <w:sz w:val="21"/>
        </w:rPr>
        <w:t xml:space="preserve">7.6 </w:t>
      </w:r>
      <w:r>
        <w:rPr>
          <w:rFonts w:ascii="Noto Sans SC" w:hAnsi="Noto Sans SC" w:eastAsia="Noto Sans SC"/>
          <w:b w:val="0"/>
          <w:i w:val="0"/>
          <w:color w:val="16212B"/>
          <w:sz w:val="21"/>
        </w:rPr>
        <w:t>评论区答复涉及产品故障、隐私、健康异常、售后、价格争议或竞品攻击的，KOL不得自行作专业判断；乙方应将问题提交甲方指定窗口，并按照甲方确认口径回复或停止回复。</w:t>
      </w:r>
    </w:p>
    <w:p>
      <w:pPr>
        <w:pStyle w:val="Heading1"/>
        <w:keepNext/>
        <w:pageBreakBefore w:val="0"/>
      </w:pPr>
      <w:r>
        <w:rPr>
          <w:rFonts w:ascii="Noto Sans SC" w:hAnsi="Noto Sans SC" w:eastAsia="Noto Sans SC"/>
          <w:b/>
          <w:i w:val="0"/>
          <w:color w:val="16212B"/>
          <w:sz w:val="28"/>
        </w:rPr>
        <w:t>第八条 产品样机与物料</w:t>
      </w:r>
    </w:p>
    <w:p>
      <w:pPr>
        <w:pStyle w:val="ContractClause"/>
      </w:pPr>
      <w:r>
        <w:rPr>
          <w:rFonts w:ascii="Noto Sans SC" w:hAnsi="Noto Sans SC" w:eastAsia="Noto Sans SC"/>
          <w:b/>
          <w:i w:val="0"/>
          <w:color w:val="16212B"/>
          <w:sz w:val="21"/>
        </w:rPr>
        <w:t xml:space="preserve">8.1 </w:t>
      </w:r>
      <w:r>
        <w:rPr>
          <w:rFonts w:ascii="Noto Sans SC" w:hAnsi="Noto Sans SC" w:eastAsia="Noto Sans SC"/>
          <w:b w:val="0"/>
          <w:i w:val="0"/>
          <w:color w:val="16212B"/>
          <w:sz w:val="21"/>
        </w:rPr>
        <w:t>甲方提供16台产品样机，其中12台用于正式账号、4台用于备选及补救。甲方应在寄出前记录序列号、颜色、配件和功能状态，并提供使用说明及安全提示。</w:t>
      </w:r>
    </w:p>
    <w:p>
      <w:pPr>
        <w:pStyle w:val="ContractClause"/>
      </w:pPr>
      <w:r>
        <w:rPr>
          <w:rFonts w:ascii="Noto Sans SC" w:hAnsi="Noto Sans SC" w:eastAsia="Noto Sans SC"/>
          <w:b/>
          <w:i w:val="0"/>
          <w:color w:val="16212B"/>
          <w:sz w:val="21"/>
        </w:rPr>
        <w:t xml:space="preserve">8.2 </w:t>
      </w:r>
      <w:r>
        <w:rPr>
          <w:rFonts w:ascii="Noto Sans SC" w:hAnsi="Noto Sans SC" w:eastAsia="Noto Sans SC"/>
          <w:b w:val="0"/>
          <w:i w:val="0"/>
          <w:color w:val="16212B"/>
          <w:sz w:val="21"/>
        </w:rPr>
        <w:t>除附件三明确标注为赠予外，样机所有权归甲方。KOL完成内容并在留存满30日后，乙方应于十个工作日内安排寄回；正常体验形成的轻微使用痕迹不视为损坏。</w:t>
      </w:r>
    </w:p>
    <w:p>
      <w:pPr>
        <w:pStyle w:val="ContractClause"/>
      </w:pPr>
      <w:r>
        <w:rPr>
          <w:rFonts w:ascii="Noto Sans SC" w:hAnsi="Noto Sans SC" w:eastAsia="Noto Sans SC"/>
          <w:b/>
          <w:i w:val="0"/>
          <w:color w:val="16212B"/>
          <w:sz w:val="21"/>
        </w:rPr>
        <w:t xml:space="preserve">8.3 </w:t>
      </w:r>
      <w:r>
        <w:rPr>
          <w:rFonts w:ascii="Noto Sans SC" w:hAnsi="Noto Sans SC" w:eastAsia="Noto Sans SC"/>
          <w:b w:val="0"/>
          <w:i w:val="0"/>
          <w:color w:val="16212B"/>
          <w:sz w:val="21"/>
        </w:rPr>
        <w:t>样机遗失、被调换或因保管不当严重损坏的，乙方按甲方含税零售价的80%赔偿；属于产品质量、安全缺陷或正常使用导致的故障不在此限。</w:t>
      </w:r>
    </w:p>
    <w:p>
      <w:pPr>
        <w:pStyle w:val="ContractClause"/>
      </w:pPr>
      <w:r>
        <w:rPr>
          <w:rFonts w:ascii="Noto Sans SC" w:hAnsi="Noto Sans SC" w:eastAsia="Noto Sans SC"/>
          <w:b/>
          <w:i w:val="0"/>
          <w:color w:val="16212B"/>
          <w:sz w:val="21"/>
        </w:rPr>
        <w:t xml:space="preserve">8.4 </w:t>
      </w:r>
      <w:r>
        <w:rPr>
          <w:rFonts w:ascii="Noto Sans SC" w:hAnsi="Noto Sans SC" w:eastAsia="Noto Sans SC"/>
          <w:b w:val="0"/>
          <w:i w:val="0"/>
          <w:color w:val="16212B"/>
          <w:sz w:val="21"/>
        </w:rPr>
        <w:t>甲方对尚未公开的样机、包装、应用界面和上市信息享有保密要求。乙方应确保KOL在统一解禁时间前不发布、不直播展示、不向第三方转交。</w:t>
      </w:r>
    </w:p>
    <w:p>
      <w:pPr>
        <w:pStyle w:val="ContractClause"/>
      </w:pPr>
      <w:r>
        <w:rPr>
          <w:rFonts w:ascii="Noto Sans SC" w:hAnsi="Noto Sans SC" w:eastAsia="Noto Sans SC"/>
          <w:b/>
          <w:i w:val="0"/>
          <w:color w:val="16212B"/>
          <w:sz w:val="21"/>
        </w:rPr>
        <w:t xml:space="preserve">8.5 </w:t>
      </w:r>
      <w:r>
        <w:rPr>
          <w:rFonts w:ascii="Noto Sans SC" w:hAnsi="Noto Sans SC" w:eastAsia="Noto Sans SC"/>
          <w:b w:val="0"/>
          <w:i w:val="0"/>
          <w:color w:val="16212B"/>
          <w:sz w:val="21"/>
        </w:rPr>
        <w:t>因样机故障影响体验的，甲方应在收到通知后一个工作日内提供排障方案，并在必要时补寄样机；由此造成的上线延迟不归责于乙方。</w:t>
      </w:r>
    </w:p>
    <w:p>
      <w:pPr>
        <w:pStyle w:val="Heading1"/>
        <w:keepNext/>
        <w:pageBreakBefore w:val="0"/>
      </w:pPr>
      <w:r>
        <w:rPr>
          <w:rFonts w:ascii="Noto Sans SC" w:hAnsi="Noto Sans SC" w:eastAsia="Noto Sans SC"/>
          <w:b/>
          <w:i w:val="0"/>
          <w:color w:val="16212B"/>
          <w:sz w:val="28"/>
        </w:rPr>
        <w:t>第九条 合同价款、付款与税费</w:t>
      </w:r>
    </w:p>
    <w:p>
      <w:pPr>
        <w:pStyle w:val="ContractClause"/>
      </w:pPr>
      <w:r>
        <w:rPr>
          <w:rFonts w:ascii="Noto Sans SC" w:hAnsi="Noto Sans SC" w:eastAsia="Noto Sans SC"/>
          <w:b/>
          <w:i w:val="0"/>
          <w:color w:val="16212B"/>
          <w:sz w:val="21"/>
        </w:rPr>
        <w:t xml:space="preserve">9.1 </w:t>
      </w:r>
      <w:r>
        <w:rPr>
          <w:rFonts w:ascii="Noto Sans SC" w:hAnsi="Noto Sans SC" w:eastAsia="Noto Sans SC"/>
          <w:b w:val="0"/>
          <w:i w:val="0"/>
          <w:color w:val="16212B"/>
          <w:sz w:val="21"/>
        </w:rPr>
        <w:t>本合同含税总价为人民币780,000元（大写：柒拾捌万元整），包含乙方服务费、内容制作费、媒体发布费、KOL合作费、小红书蒲公英等平台技术服务费、寄样物流、监测及结案报告费用。费用明细见附件四。</w:t>
      </w:r>
    </w:p>
    <w:p>
      <w:pPr>
        <w:pStyle w:val="ContractClause"/>
      </w:pPr>
      <w:r>
        <w:rPr>
          <w:rFonts w:ascii="Noto Sans SC" w:hAnsi="Noto Sans SC" w:eastAsia="Noto Sans SC"/>
          <w:b/>
          <w:i w:val="0"/>
          <w:color w:val="16212B"/>
          <w:sz w:val="21"/>
        </w:rPr>
        <w:t xml:space="preserve">9.2 </w:t>
      </w:r>
      <w:r>
        <w:rPr>
          <w:rFonts w:ascii="Noto Sans SC" w:hAnsi="Noto Sans SC" w:eastAsia="Noto Sans SC"/>
          <w:b w:val="0"/>
          <w:i w:val="0"/>
          <w:color w:val="16212B"/>
          <w:sz w:val="21"/>
        </w:rPr>
        <w:t>第一期款：合同生效且甲方收到合规增值税专用发票后十个工作日内，支付合同总价的40%，即312,000元。</w:t>
      </w:r>
    </w:p>
    <w:p>
      <w:pPr>
        <w:pStyle w:val="ContractClause"/>
      </w:pPr>
      <w:r>
        <w:rPr>
          <w:rFonts w:ascii="Noto Sans SC" w:hAnsi="Noto Sans SC" w:eastAsia="Noto Sans SC"/>
          <w:b/>
          <w:i w:val="0"/>
          <w:color w:val="16212B"/>
          <w:sz w:val="21"/>
        </w:rPr>
        <w:t xml:space="preserve">9.3 </w:t>
      </w:r>
      <w:r>
        <w:rPr>
          <w:rFonts w:ascii="Noto Sans SC" w:hAnsi="Noto Sans SC" w:eastAsia="Noto Sans SC"/>
          <w:b w:val="0"/>
          <w:i w:val="0"/>
          <w:color w:val="16212B"/>
          <w:sz w:val="21"/>
        </w:rPr>
        <w:t>第二期款：甲方确认12个正式账号、主要内容提纲及新闻稿发布稿，且乙方提交相应发票后十个工作日内，支付合同总价的40%，即312,000元。</w:t>
      </w:r>
    </w:p>
    <w:p>
      <w:pPr>
        <w:pStyle w:val="ContractClause"/>
      </w:pPr>
      <w:r>
        <w:rPr>
          <w:rFonts w:ascii="Noto Sans SC" w:hAnsi="Noto Sans SC" w:eastAsia="Noto Sans SC"/>
          <w:b/>
          <w:i w:val="0"/>
          <w:color w:val="16212B"/>
          <w:sz w:val="21"/>
        </w:rPr>
        <w:t xml:space="preserve">9.4 </w:t>
      </w:r>
      <w:r>
        <w:rPr>
          <w:rFonts w:ascii="Noto Sans SC" w:hAnsi="Noto Sans SC" w:eastAsia="Noto Sans SC"/>
          <w:b w:val="0"/>
          <w:i w:val="0"/>
          <w:color w:val="16212B"/>
          <w:sz w:val="21"/>
        </w:rPr>
        <w:t>尾款：全部约定内容上线、乙方提交结案报告和验收材料且甲方验收通过后十五个工作日内，支付合同总价的20%，即156,000元。对有争议部分，甲方可暂缓支付对应金额，但不得无理由扣留无争议款项。</w:t>
      </w:r>
    </w:p>
    <w:p>
      <w:pPr>
        <w:pStyle w:val="ContractClause"/>
      </w:pPr>
      <w:r>
        <w:rPr>
          <w:rFonts w:ascii="Noto Sans SC" w:hAnsi="Noto Sans SC" w:eastAsia="Noto Sans SC"/>
          <w:b/>
          <w:i w:val="0"/>
          <w:color w:val="16212B"/>
          <w:sz w:val="21"/>
        </w:rPr>
        <w:t xml:space="preserve">9.5 </w:t>
      </w:r>
      <w:r>
        <w:rPr>
          <w:rFonts w:ascii="Noto Sans SC" w:hAnsi="Noto Sans SC" w:eastAsia="Noto Sans SC"/>
          <w:b w:val="0"/>
          <w:i w:val="0"/>
          <w:color w:val="16212B"/>
          <w:sz w:val="21"/>
        </w:rPr>
        <w:t>乙方应开具税率为6%的增值税专用发票，发票项目为“现代服务*广告服务费”或依法可开具的同类项目。因国家税率调整导致含税价与不含税价关系变化的，合同含税总价不变。</w:t>
      </w:r>
    </w:p>
    <w:p>
      <w:pPr>
        <w:pStyle w:val="ContractClause"/>
      </w:pPr>
      <w:r>
        <w:rPr>
          <w:rFonts w:ascii="Noto Sans SC" w:hAnsi="Noto Sans SC" w:eastAsia="Noto Sans SC"/>
          <w:b/>
          <w:i w:val="0"/>
          <w:color w:val="16212B"/>
          <w:sz w:val="21"/>
        </w:rPr>
        <w:t xml:space="preserve">9.6 </w:t>
      </w:r>
      <w:r>
        <w:rPr>
          <w:rFonts w:ascii="Noto Sans SC" w:hAnsi="Noto Sans SC" w:eastAsia="Noto Sans SC"/>
          <w:b w:val="0"/>
          <w:i w:val="0"/>
          <w:color w:val="16212B"/>
          <w:sz w:val="21"/>
        </w:rPr>
        <w:t>乙方收款账户应为其同名对公账户。账户变更须提前五个工作日以加盖公章的书面通知送达甲方；仅通过即时通讯发送的变更不对甲方生效。</w:t>
      </w:r>
    </w:p>
    <w:p>
      <w:pPr>
        <w:pStyle w:val="ContractClause"/>
      </w:pPr>
      <w:r>
        <w:rPr>
          <w:rFonts w:ascii="Noto Sans SC" w:hAnsi="Noto Sans SC" w:eastAsia="Noto Sans SC"/>
          <w:b/>
          <w:i w:val="0"/>
          <w:color w:val="16212B"/>
          <w:sz w:val="21"/>
        </w:rPr>
        <w:t xml:space="preserve">9.7 </w:t>
      </w:r>
      <w:r>
        <w:rPr>
          <w:rFonts w:ascii="Noto Sans SC" w:hAnsi="Noto Sans SC" w:eastAsia="Noto Sans SC"/>
          <w:b w:val="0"/>
          <w:i w:val="0"/>
          <w:color w:val="16212B"/>
          <w:sz w:val="21"/>
        </w:rPr>
        <w:t>合同价格基于签署日平台费率。若平台在项目期间将强制收取的技术服务费率提高超过5个百分点，双方应就超出部分签署变更单；未签署前，乙方不得擅自降低KOL等级或交付数量。</w:t>
      </w:r>
    </w:p>
    <w:p>
      <w:pPr>
        <w:pStyle w:val="Heading1"/>
        <w:keepNext/>
        <w:pageBreakBefore w:val="0"/>
      </w:pPr>
      <w:r>
        <w:rPr>
          <w:rFonts w:ascii="Noto Sans SC" w:hAnsi="Noto Sans SC" w:eastAsia="Noto Sans SC"/>
          <w:b/>
          <w:i w:val="0"/>
          <w:color w:val="16212B"/>
          <w:sz w:val="28"/>
        </w:rPr>
        <w:t>第十条 验收</w:t>
      </w:r>
    </w:p>
    <w:p>
      <w:pPr>
        <w:pStyle w:val="ContractClause"/>
      </w:pPr>
      <w:r>
        <w:rPr>
          <w:rFonts w:ascii="Noto Sans SC" w:hAnsi="Noto Sans SC" w:eastAsia="Noto Sans SC"/>
          <w:b/>
          <w:i w:val="0"/>
          <w:color w:val="16212B"/>
          <w:sz w:val="21"/>
        </w:rPr>
        <w:t xml:space="preserve">10.1 </w:t>
      </w:r>
      <w:r>
        <w:rPr>
          <w:rFonts w:ascii="Noto Sans SC" w:hAnsi="Noto Sans SC" w:eastAsia="Noto Sans SC"/>
          <w:b w:val="0"/>
          <w:i w:val="0"/>
          <w:color w:val="16212B"/>
          <w:sz w:val="21"/>
        </w:rPr>
        <w:t>验收以服务交付和证据完整为核心，不以产品销量、自然搜索排名或单篇内容达到预估曝光量作为唯一条件。</w:t>
      </w:r>
    </w:p>
    <w:p>
      <w:pPr>
        <w:pStyle w:val="ContractClause"/>
      </w:pPr>
      <w:r>
        <w:rPr>
          <w:rFonts w:ascii="Noto Sans SC" w:hAnsi="Noto Sans SC" w:eastAsia="Noto Sans SC"/>
          <w:b/>
          <w:i w:val="0"/>
          <w:color w:val="16212B"/>
          <w:sz w:val="21"/>
        </w:rPr>
        <w:t xml:space="preserve">10.2 </w:t>
      </w:r>
      <w:r>
        <w:rPr>
          <w:rFonts w:ascii="Noto Sans SC" w:hAnsi="Noto Sans SC" w:eastAsia="Noto Sans SC"/>
          <w:b w:val="0"/>
          <w:i w:val="0"/>
          <w:color w:val="16212B"/>
          <w:sz w:val="21"/>
        </w:rPr>
        <w:t>媒体发布的验收条件为：20个有效发布位全部完成，其中核心媒体8个；有效链接、上线截图和媒体名称清单齐全；正文不存在未经授权的关键事实变更。</w:t>
      </w:r>
    </w:p>
    <w:p>
      <w:pPr>
        <w:pStyle w:val="ContractClause"/>
      </w:pPr>
      <w:r>
        <w:rPr>
          <w:rFonts w:ascii="Noto Sans SC" w:hAnsi="Noto Sans SC" w:eastAsia="Noto Sans SC"/>
          <w:b/>
          <w:i w:val="0"/>
          <w:color w:val="16212B"/>
          <w:sz w:val="21"/>
        </w:rPr>
        <w:t xml:space="preserve">10.3 </w:t>
      </w:r>
      <w:r>
        <w:rPr>
          <w:rFonts w:ascii="Noto Sans SC" w:hAnsi="Noto Sans SC" w:eastAsia="Noto Sans SC"/>
          <w:b w:val="0"/>
          <w:i w:val="0"/>
          <w:color w:val="16212B"/>
          <w:sz w:val="21"/>
        </w:rPr>
        <w:t>KOL传播的验收条件为：12篇内容全部上线，形式与账号结构符合附件三；内容完成约定审核；广告标识、产品全称、核心场景和必要风险提示完整；上线证据及7日数据齐全。</w:t>
      </w:r>
    </w:p>
    <w:p>
      <w:pPr>
        <w:pStyle w:val="ContractClause"/>
      </w:pPr>
      <w:r>
        <w:rPr>
          <w:rFonts w:ascii="Noto Sans SC" w:hAnsi="Noto Sans SC" w:eastAsia="Noto Sans SC"/>
          <w:b/>
          <w:i w:val="0"/>
          <w:color w:val="16212B"/>
          <w:sz w:val="21"/>
        </w:rPr>
        <w:t xml:space="preserve">10.4 </w:t>
      </w:r>
      <w:r>
        <w:rPr>
          <w:rFonts w:ascii="Noto Sans SC" w:hAnsi="Noto Sans SC" w:eastAsia="Noto Sans SC"/>
          <w:b w:val="0"/>
          <w:i w:val="0"/>
          <w:color w:val="16212B"/>
          <w:sz w:val="21"/>
        </w:rPr>
        <w:t>甲方应在收到完整验收材料后五个工作日内一次性提出书面异议，说明不符合的具体交付项及依据。乙方应在五个工作日内补正。甲方逾期未反馈的，视为该批材料验收通过，但隐蔽的数据造假、权利瑕疵和依法不得免除的责任不受此限制。</w:t>
      </w:r>
    </w:p>
    <w:p>
      <w:pPr>
        <w:pStyle w:val="ContractClause"/>
      </w:pPr>
      <w:r>
        <w:rPr>
          <w:rFonts w:ascii="Noto Sans SC" w:hAnsi="Noto Sans SC" w:eastAsia="Noto Sans SC"/>
          <w:b/>
          <w:i w:val="0"/>
          <w:color w:val="16212B"/>
          <w:sz w:val="21"/>
        </w:rPr>
        <w:t xml:space="preserve">10.5 </w:t>
      </w:r>
      <w:r>
        <w:rPr>
          <w:rFonts w:ascii="Noto Sans SC" w:hAnsi="Noto Sans SC" w:eastAsia="Noto Sans SC"/>
          <w:b w:val="0"/>
          <w:i w:val="0"/>
          <w:color w:val="16212B"/>
          <w:sz w:val="21"/>
        </w:rPr>
        <w:t>可以补救的不合格项，优先通过更正、补发、延长留存或同等级替换处理；补救仍不合格或已经错过上市窗口且无法实现合同目的的，甲方可按附件四对应单价扣减价款，并追究违约责任。</w:t>
      </w:r>
    </w:p>
    <w:p>
      <w:pPr>
        <w:pStyle w:val="Heading1"/>
        <w:keepNext/>
        <w:pageBreakBefore w:val="0"/>
      </w:pPr>
      <w:r>
        <w:rPr>
          <w:rFonts w:ascii="Noto Sans SC" w:hAnsi="Noto Sans SC" w:eastAsia="Noto Sans SC"/>
          <w:b/>
          <w:i w:val="0"/>
          <w:color w:val="16212B"/>
          <w:sz w:val="28"/>
        </w:rPr>
        <w:t>第十一条 传播指标与数据真实性</w:t>
      </w:r>
    </w:p>
    <w:p>
      <w:pPr>
        <w:pStyle w:val="ContractClause"/>
      </w:pPr>
      <w:r>
        <w:rPr>
          <w:rFonts w:ascii="Noto Sans SC" w:hAnsi="Noto Sans SC" w:eastAsia="Noto Sans SC"/>
          <w:b/>
          <w:i w:val="0"/>
          <w:color w:val="16212B"/>
          <w:sz w:val="21"/>
        </w:rPr>
        <w:t xml:space="preserve">11.1 </w:t>
      </w:r>
      <w:r>
        <w:rPr>
          <w:rFonts w:ascii="Noto Sans SC" w:hAnsi="Noto Sans SC" w:eastAsia="Noto Sans SC"/>
          <w:b w:val="0"/>
          <w:i w:val="0"/>
          <w:color w:val="16212B"/>
          <w:sz w:val="21"/>
        </w:rPr>
        <w:t>附件一所列总曝光1,200,000次、平均互动率4%为基于历史数据形成的项目目标，不构成乙方对平台算法结果的保底承诺；但乙方仍应采取正常选人、内容和发布时段优化措施。</w:t>
      </w:r>
    </w:p>
    <w:p>
      <w:pPr>
        <w:pStyle w:val="ContractClause"/>
      </w:pPr>
      <w:r>
        <w:rPr>
          <w:rFonts w:ascii="Noto Sans SC" w:hAnsi="Noto Sans SC" w:eastAsia="Noto Sans SC"/>
          <w:b/>
          <w:i w:val="0"/>
          <w:color w:val="16212B"/>
          <w:sz w:val="21"/>
        </w:rPr>
        <w:t xml:space="preserve">11.2 </w:t>
      </w:r>
      <w:r>
        <w:rPr>
          <w:rFonts w:ascii="Noto Sans SC" w:hAnsi="Noto Sans SC" w:eastAsia="Noto Sans SC"/>
          <w:b w:val="0"/>
          <w:i w:val="0"/>
          <w:color w:val="16212B"/>
          <w:sz w:val="21"/>
        </w:rPr>
        <w:t>乙方及KOL不得购买虚假粉丝、机器点赞、刷量评论、虚构搜索或使用其他操纵数据的方式完成指标。甲方有合理怀疑时，可要求提供平台后台截图、时间序列数据或第三方监测说明。</w:t>
      </w:r>
    </w:p>
    <w:p>
      <w:pPr>
        <w:pStyle w:val="ContractClause"/>
      </w:pPr>
      <w:r>
        <w:rPr>
          <w:rFonts w:ascii="Noto Sans SC" w:hAnsi="Noto Sans SC" w:eastAsia="Noto Sans SC"/>
          <w:b/>
          <w:i w:val="0"/>
          <w:color w:val="16212B"/>
          <w:sz w:val="21"/>
        </w:rPr>
        <w:t xml:space="preserve">11.3 </w:t>
      </w:r>
      <w:r>
        <w:rPr>
          <w:rFonts w:ascii="Noto Sans SC" w:hAnsi="Noto Sans SC" w:eastAsia="Noto Sans SC"/>
          <w:b w:val="0"/>
          <w:i w:val="0"/>
          <w:color w:val="16212B"/>
          <w:sz w:val="21"/>
        </w:rPr>
        <w:t>如单篇内容上线7日的互动量低于该账号近30篇非置顶商业内容中位互动量的30%，且存在异常粉丝构成、集中重复评论或其他合理疑点，乙方应配合核查；确认存在作弊的，该内容不计入验收，乙方应免费替换。</w:t>
      </w:r>
    </w:p>
    <w:p>
      <w:pPr>
        <w:pStyle w:val="ContractClause"/>
      </w:pPr>
      <w:r>
        <w:rPr>
          <w:rFonts w:ascii="Noto Sans SC" w:hAnsi="Noto Sans SC" w:eastAsia="Noto Sans SC"/>
          <w:b/>
          <w:i w:val="0"/>
          <w:color w:val="16212B"/>
          <w:sz w:val="21"/>
        </w:rPr>
        <w:t xml:space="preserve">11.4 </w:t>
      </w:r>
      <w:r>
        <w:rPr>
          <w:rFonts w:ascii="Noto Sans SC" w:hAnsi="Noto Sans SC" w:eastAsia="Noto Sans SC"/>
          <w:b w:val="0"/>
          <w:i w:val="0"/>
          <w:color w:val="16212B"/>
          <w:sz w:val="21"/>
        </w:rPr>
        <w:t>平台删除异常数据、调整统计口径或限制后台字段的，乙方应保留能够取得的原始截图并说明差异，不得自行补造数据。</w:t>
      </w:r>
    </w:p>
    <w:p>
      <w:pPr>
        <w:pStyle w:val="Heading1"/>
        <w:keepNext/>
        <w:pageBreakBefore w:val="0"/>
      </w:pPr>
      <w:r>
        <w:rPr>
          <w:rFonts w:ascii="Noto Sans SC" w:hAnsi="Noto Sans SC" w:eastAsia="Noto Sans SC"/>
          <w:b/>
          <w:i w:val="0"/>
          <w:color w:val="16212B"/>
          <w:sz w:val="28"/>
        </w:rPr>
        <w:t>第十二条 知识产权与交付物权利</w:t>
      </w:r>
    </w:p>
    <w:p>
      <w:pPr>
        <w:pStyle w:val="ContractClause"/>
      </w:pPr>
      <w:r>
        <w:rPr>
          <w:rFonts w:ascii="Noto Sans SC" w:hAnsi="Noto Sans SC" w:eastAsia="Noto Sans SC"/>
          <w:b/>
          <w:i w:val="0"/>
          <w:color w:val="16212B"/>
          <w:sz w:val="21"/>
        </w:rPr>
        <w:t xml:space="preserve">12.1 </w:t>
      </w:r>
      <w:r>
        <w:rPr>
          <w:rFonts w:ascii="Noto Sans SC" w:hAnsi="Noto Sans SC" w:eastAsia="Noto Sans SC"/>
          <w:b w:val="0"/>
          <w:i w:val="0"/>
          <w:color w:val="16212B"/>
          <w:sz w:val="21"/>
        </w:rPr>
        <w:t>甲方提供的商标、产品设计、软件界面、图片、参数、文案及其他素材的知识产权归甲方或其授权方所有。甲方授予乙方仅为履行本合同、在项目期限内使用该等素材的非独占、不可转授权许可；为签约KOL履约所必需的再许可除外。</w:t>
      </w:r>
    </w:p>
    <w:p>
      <w:pPr>
        <w:pStyle w:val="ContractClause"/>
      </w:pPr>
      <w:r>
        <w:rPr>
          <w:rFonts w:ascii="Noto Sans SC" w:hAnsi="Noto Sans SC" w:eastAsia="Noto Sans SC"/>
          <w:b/>
          <w:i w:val="0"/>
          <w:color w:val="16212B"/>
          <w:sz w:val="21"/>
        </w:rPr>
        <w:t xml:space="preserve">12.2 </w:t>
      </w:r>
      <w:r>
        <w:rPr>
          <w:rFonts w:ascii="Noto Sans SC" w:hAnsi="Noto Sans SC" w:eastAsia="Noto Sans SC"/>
          <w:b w:val="0"/>
          <w:i w:val="0"/>
          <w:color w:val="16212B"/>
          <w:sz w:val="21"/>
        </w:rPr>
        <w:t>乙方在本项目中专门创作且已包含在合同价款内的新闻稿、媒体Q&amp;A、事实表、传播策略和结案报告，在甲方付清对应价款后，其可转让的著作财产权归甲方所有；乙方保留通用方法、模板、工具和不含甲方保密信息的基础能力。</w:t>
      </w:r>
    </w:p>
    <w:p>
      <w:pPr>
        <w:pStyle w:val="ContractClause"/>
      </w:pPr>
      <w:r>
        <w:rPr>
          <w:rFonts w:ascii="Noto Sans SC" w:hAnsi="Noto Sans SC" w:eastAsia="Noto Sans SC"/>
          <w:b/>
          <w:i w:val="0"/>
          <w:color w:val="16212B"/>
          <w:sz w:val="21"/>
        </w:rPr>
        <w:t xml:space="preserve">12.3 </w:t>
      </w:r>
      <w:r>
        <w:rPr>
          <w:rFonts w:ascii="Noto Sans SC" w:hAnsi="Noto Sans SC" w:eastAsia="Noto Sans SC"/>
          <w:b w:val="0"/>
          <w:i w:val="0"/>
          <w:color w:val="16212B"/>
          <w:sz w:val="21"/>
        </w:rPr>
        <w:t>KOL内容的著作权原则上归KOL所有。乙方应确保甲方获得自首次上线之日起六个月内、在中国大陆地区、于甲方及其关联公司自有网站、应用、微信公众号、视频号、小红书官方账号和内部汇报中免费转载、剪辑节选和存档的非独占许可。转载应保留KOL署名并不得歪曲原意。</w:t>
      </w:r>
    </w:p>
    <w:p>
      <w:pPr>
        <w:pStyle w:val="ContractClause"/>
      </w:pPr>
      <w:r>
        <w:rPr>
          <w:rFonts w:ascii="Noto Sans SC" w:hAnsi="Noto Sans SC" w:eastAsia="Noto Sans SC"/>
          <w:b/>
          <w:i w:val="0"/>
          <w:color w:val="16212B"/>
          <w:sz w:val="21"/>
        </w:rPr>
        <w:t xml:space="preserve">12.4 </w:t>
      </w:r>
      <w:r>
        <w:rPr>
          <w:rFonts w:ascii="Noto Sans SC" w:hAnsi="Noto Sans SC" w:eastAsia="Noto Sans SC"/>
          <w:b w:val="0"/>
          <w:i w:val="0"/>
          <w:color w:val="16212B"/>
          <w:sz w:val="21"/>
        </w:rPr>
        <w:t>前款许可不包括信息流付费投放、开屏广告、电商详情页长期使用、线下门店广告、包装物、户外广告、电视广告或授权第三方经销商使用。甲方需要该等用途的，应另行取得KOL书面授权并支付费用。</w:t>
      </w:r>
    </w:p>
    <w:p>
      <w:pPr>
        <w:pStyle w:val="ContractClause"/>
      </w:pPr>
      <w:r>
        <w:rPr>
          <w:rFonts w:ascii="Noto Sans SC" w:hAnsi="Noto Sans SC" w:eastAsia="Noto Sans SC"/>
          <w:b/>
          <w:i w:val="0"/>
          <w:color w:val="16212B"/>
          <w:sz w:val="21"/>
        </w:rPr>
        <w:t xml:space="preserve">12.5 </w:t>
      </w:r>
      <w:r>
        <w:rPr>
          <w:rFonts w:ascii="Noto Sans SC" w:hAnsi="Noto Sans SC" w:eastAsia="Noto Sans SC"/>
          <w:b w:val="0"/>
          <w:i w:val="0"/>
          <w:color w:val="16212B"/>
          <w:sz w:val="21"/>
        </w:rPr>
        <w:t>乙方应确保交付物不侵犯第三方著作权、商标权、肖像权、姓名权或其他合法权益。使用音乐、字体、图片、场地或路人可识别影像时，应取得与实际发布及授权范围相匹配的许可。</w:t>
      </w:r>
    </w:p>
    <w:p>
      <w:pPr>
        <w:pStyle w:val="ContractClause"/>
      </w:pPr>
      <w:r>
        <w:rPr>
          <w:rFonts w:ascii="Noto Sans SC" w:hAnsi="Noto Sans SC" w:eastAsia="Noto Sans SC"/>
          <w:b/>
          <w:i w:val="0"/>
          <w:color w:val="16212B"/>
          <w:sz w:val="21"/>
        </w:rPr>
        <w:t xml:space="preserve">12.6 </w:t>
      </w:r>
      <w:r>
        <w:rPr>
          <w:rFonts w:ascii="Noto Sans SC" w:hAnsi="Noto Sans SC" w:eastAsia="Noto Sans SC"/>
          <w:b w:val="0"/>
          <w:i w:val="0"/>
          <w:color w:val="16212B"/>
          <w:sz w:val="21"/>
        </w:rPr>
        <w:t>未经甲方书面同意，乙方不得将甲方未公开素材、KOL原始素材或项目数据用于训练生成式人工智能模型、建立公开案例库或向其他客户展示。乙方可在不识别甲方、产品、KOL及商业数据的前提下形成内部经验总结。</w:t>
      </w:r>
    </w:p>
    <w:p>
      <w:pPr>
        <w:pStyle w:val="Heading1"/>
        <w:keepNext/>
        <w:pageBreakBefore w:val="0"/>
      </w:pPr>
      <w:r>
        <w:rPr>
          <w:rFonts w:ascii="Noto Sans SC" w:hAnsi="Noto Sans SC" w:eastAsia="Noto Sans SC"/>
          <w:b/>
          <w:i w:val="0"/>
          <w:color w:val="16212B"/>
          <w:sz w:val="28"/>
        </w:rPr>
        <w:t>第十三条 姓名、肖像与内容再利用</w:t>
      </w:r>
    </w:p>
    <w:p>
      <w:pPr>
        <w:pStyle w:val="ContractClause"/>
      </w:pPr>
      <w:r>
        <w:rPr>
          <w:rFonts w:ascii="Noto Sans SC" w:hAnsi="Noto Sans SC" w:eastAsia="Noto Sans SC"/>
          <w:b/>
          <w:i w:val="0"/>
          <w:color w:val="16212B"/>
          <w:sz w:val="21"/>
        </w:rPr>
        <w:t xml:space="preserve">13.1 </w:t>
      </w:r>
      <w:r>
        <w:rPr>
          <w:rFonts w:ascii="Noto Sans SC" w:hAnsi="Noto Sans SC" w:eastAsia="Noto Sans SC"/>
          <w:b w:val="0"/>
          <w:i w:val="0"/>
          <w:color w:val="16212B"/>
          <w:sz w:val="21"/>
        </w:rPr>
        <w:t>乙方应取得KOL对姓名、账号名、头像、肖像、声音及表演用于本合同约定内容和第12.3条自有渠道转载的授权，期限与KOL内容许可期限一致。</w:t>
      </w:r>
    </w:p>
    <w:p>
      <w:pPr>
        <w:pStyle w:val="ContractClause"/>
      </w:pPr>
      <w:r>
        <w:rPr>
          <w:rFonts w:ascii="Noto Sans SC" w:hAnsi="Noto Sans SC" w:eastAsia="Noto Sans SC"/>
          <w:b/>
          <w:i w:val="0"/>
          <w:color w:val="16212B"/>
          <w:sz w:val="21"/>
        </w:rPr>
        <w:t xml:space="preserve">13.2 </w:t>
      </w:r>
      <w:r>
        <w:rPr>
          <w:rFonts w:ascii="Noto Sans SC" w:hAnsi="Noto Sans SC" w:eastAsia="Noto Sans SC"/>
          <w:b w:val="0"/>
          <w:i w:val="0"/>
          <w:color w:val="16212B"/>
          <w:sz w:val="21"/>
        </w:rPr>
        <w:t>甲方不得通过生成式人工智能、数字人或其他技术制作足以使公众误认为KOL新作出的推荐、演示或发言，也不得将不同内容拼接形成KOL未表达的比较结论。</w:t>
      </w:r>
    </w:p>
    <w:p>
      <w:pPr>
        <w:pStyle w:val="ContractClause"/>
      </w:pPr>
      <w:r>
        <w:rPr>
          <w:rFonts w:ascii="Noto Sans SC" w:hAnsi="Noto Sans SC" w:eastAsia="Noto Sans SC"/>
          <w:b/>
          <w:i w:val="0"/>
          <w:color w:val="16212B"/>
          <w:sz w:val="21"/>
        </w:rPr>
        <w:t xml:space="preserve">13.3 </w:t>
      </w:r>
      <w:r>
        <w:rPr>
          <w:rFonts w:ascii="Noto Sans SC" w:hAnsi="Noto Sans SC" w:eastAsia="Noto Sans SC"/>
          <w:b w:val="0"/>
          <w:i w:val="0"/>
          <w:color w:val="16212B"/>
          <w:sz w:val="21"/>
        </w:rPr>
        <w:t>甲方在授权期限届满后可保留历史发布页面和内部存档，但不得重新置顶、重新投放或作为新一轮活动素材主动传播。</w:t>
      </w:r>
    </w:p>
    <w:p>
      <w:pPr>
        <w:pStyle w:val="Heading1"/>
        <w:keepNext/>
        <w:pageBreakBefore w:val="0"/>
      </w:pPr>
      <w:r>
        <w:rPr>
          <w:rFonts w:ascii="Noto Sans SC" w:hAnsi="Noto Sans SC" w:eastAsia="Noto Sans SC"/>
          <w:b/>
          <w:i w:val="0"/>
          <w:color w:val="16212B"/>
          <w:sz w:val="28"/>
        </w:rPr>
        <w:t>第十四条 广告、产品与平台合规</w:t>
      </w:r>
    </w:p>
    <w:p>
      <w:pPr>
        <w:pStyle w:val="ContractClause"/>
      </w:pPr>
      <w:r>
        <w:rPr>
          <w:rFonts w:ascii="Noto Sans SC" w:hAnsi="Noto Sans SC" w:eastAsia="Noto Sans SC"/>
          <w:b/>
          <w:i w:val="0"/>
          <w:color w:val="16212B"/>
          <w:sz w:val="21"/>
        </w:rPr>
        <w:t xml:space="preserve">14.1 </w:t>
      </w:r>
      <w:r>
        <w:rPr>
          <w:rFonts w:ascii="Noto Sans SC" w:hAnsi="Noto Sans SC" w:eastAsia="Noto Sans SC"/>
          <w:b w:val="0"/>
          <w:i w:val="0"/>
          <w:color w:val="16212B"/>
          <w:sz w:val="21"/>
        </w:rPr>
        <w:t>双方应遵守适用的广告、电子商务、网络内容、消费者权益、反不正当竞争、知识产权和平台规则。KOL内容构成互联网广告的，应以显著方式标明“广告”“商业合作”或平台要求的等效标识。</w:t>
      </w:r>
    </w:p>
    <w:p>
      <w:pPr>
        <w:pStyle w:val="ContractClause"/>
      </w:pPr>
      <w:r>
        <w:rPr>
          <w:rFonts w:ascii="Noto Sans SC" w:hAnsi="Noto Sans SC" w:eastAsia="Noto Sans SC"/>
          <w:b/>
          <w:i w:val="0"/>
          <w:color w:val="16212B"/>
          <w:sz w:val="21"/>
        </w:rPr>
        <w:t xml:space="preserve">14.2 </w:t>
      </w:r>
      <w:r>
        <w:rPr>
          <w:rFonts w:ascii="Noto Sans SC" w:hAnsi="Noto Sans SC" w:eastAsia="Noto Sans SC"/>
          <w:b w:val="0"/>
          <w:i w:val="0"/>
          <w:color w:val="16212B"/>
          <w:sz w:val="21"/>
        </w:rPr>
        <w:t>甲方对产品资质、功能、参数、价格、检测结论及其提供的宣传依据负责。涉及“首创”“第一”“最准确”“医疗级”“治愈”“诊断”“预防疾病”等表述，未经甲方法务书面确认及充分依据，不得使用。</w:t>
      </w:r>
    </w:p>
    <w:p>
      <w:pPr>
        <w:pStyle w:val="ContractClause"/>
      </w:pPr>
      <w:r>
        <w:rPr>
          <w:rFonts w:ascii="Noto Sans SC" w:hAnsi="Noto Sans SC" w:eastAsia="Noto Sans SC"/>
          <w:b/>
          <w:i w:val="0"/>
          <w:color w:val="16212B"/>
          <w:sz w:val="21"/>
        </w:rPr>
        <w:t xml:space="preserve">14.3 </w:t>
      </w:r>
      <w:r>
        <w:rPr>
          <w:rFonts w:ascii="Noto Sans SC" w:hAnsi="Noto Sans SC" w:eastAsia="Noto Sans SC"/>
          <w:b w:val="0"/>
          <w:i w:val="0"/>
          <w:color w:val="16212B"/>
          <w:sz w:val="21"/>
        </w:rPr>
        <w:t>产品的心率、血氧、压力、睡眠等数据仅用于健康管理参考，不用于医疗诊断或治疗。相关内容应根据实际功能和甲方确认口径设置清晰提示，不得展示虚构异常结果或诱导用户替代就医。</w:t>
      </w:r>
    </w:p>
    <w:p>
      <w:pPr>
        <w:pStyle w:val="ContractClause"/>
      </w:pPr>
      <w:r>
        <w:rPr>
          <w:rFonts w:ascii="Noto Sans SC" w:hAnsi="Noto Sans SC" w:eastAsia="Noto Sans SC"/>
          <w:b/>
          <w:i w:val="0"/>
          <w:color w:val="16212B"/>
          <w:sz w:val="21"/>
        </w:rPr>
        <w:t xml:space="preserve">14.4 </w:t>
      </w:r>
      <w:r>
        <w:rPr>
          <w:rFonts w:ascii="Noto Sans SC" w:hAnsi="Noto Sans SC" w:eastAsia="Noto Sans SC"/>
          <w:b w:val="0"/>
          <w:i w:val="0"/>
          <w:color w:val="16212B"/>
          <w:sz w:val="21"/>
        </w:rPr>
        <w:t>续航、防水、定位精度等结论应明确测试条件。使用“最长12天续航”“5ATM防水”等信息时，应以附件六的限定语为准，不得延伸为所有场景下的绝对表现或潜水适用承诺。</w:t>
      </w:r>
    </w:p>
    <w:p>
      <w:pPr>
        <w:pStyle w:val="ContractClause"/>
      </w:pPr>
      <w:r>
        <w:rPr>
          <w:rFonts w:ascii="Noto Sans SC" w:hAnsi="Noto Sans SC" w:eastAsia="Noto Sans SC"/>
          <w:b/>
          <w:i w:val="0"/>
          <w:color w:val="16212B"/>
          <w:sz w:val="21"/>
        </w:rPr>
        <w:t xml:space="preserve">14.5 </w:t>
      </w:r>
      <w:r>
        <w:rPr>
          <w:rFonts w:ascii="Noto Sans SC" w:hAnsi="Noto Sans SC" w:eastAsia="Noto Sans SC"/>
          <w:b w:val="0"/>
          <w:i w:val="0"/>
          <w:color w:val="16212B"/>
          <w:sz w:val="21"/>
        </w:rPr>
        <w:t>进行竞品比较时，应使用同一测试条件、可验证的公开信息或经甲方提供的测试资料，不得贬低竞争对手，不得剪辑制造误导性对比。未取得书面批准的内容原则上不直接出现竞品商标和产品正面特写。</w:t>
      </w:r>
    </w:p>
    <w:p>
      <w:pPr>
        <w:pStyle w:val="ContractClause"/>
      </w:pPr>
      <w:r>
        <w:rPr>
          <w:rFonts w:ascii="Noto Sans SC" w:hAnsi="Noto Sans SC" w:eastAsia="Noto Sans SC"/>
          <w:b/>
          <w:i w:val="0"/>
          <w:color w:val="16212B"/>
          <w:sz w:val="21"/>
        </w:rPr>
        <w:t xml:space="preserve">14.6 </w:t>
      </w:r>
      <w:r>
        <w:rPr>
          <w:rFonts w:ascii="Noto Sans SC" w:hAnsi="Noto Sans SC" w:eastAsia="Noto Sans SC"/>
          <w:b w:val="0"/>
          <w:i w:val="0"/>
          <w:color w:val="16212B"/>
          <w:sz w:val="21"/>
        </w:rPr>
        <w:t>如平台要求通过蒲公英等官方商业合作系统下单，乙方应完成相应报备。乙方不得指示KOL通过拆分合同、私下返款或虚构非商业关系规避平台审查。</w:t>
      </w:r>
    </w:p>
    <w:p>
      <w:pPr>
        <w:pStyle w:val="ContractClause"/>
      </w:pPr>
      <w:r>
        <w:rPr>
          <w:rFonts w:ascii="Noto Sans SC" w:hAnsi="Noto Sans SC" w:eastAsia="Noto Sans SC"/>
          <w:b/>
          <w:i w:val="0"/>
          <w:color w:val="16212B"/>
          <w:sz w:val="21"/>
        </w:rPr>
        <w:t xml:space="preserve">14.7 </w:t>
      </w:r>
      <w:r>
        <w:rPr>
          <w:rFonts w:ascii="Noto Sans SC" w:hAnsi="Noto Sans SC" w:eastAsia="Noto Sans SC"/>
          <w:b w:val="0"/>
          <w:i w:val="0"/>
          <w:color w:val="16212B"/>
          <w:sz w:val="21"/>
        </w:rPr>
        <w:t>任何一方发现内容可能违法、失实或引发人身安全风险，应立即通知对方并暂停发布。对已经上线的内容，双方应根据风险采取更正、增加提示、限制传播或删除措施。</w:t>
      </w:r>
    </w:p>
    <w:p>
      <w:pPr>
        <w:pStyle w:val="Heading1"/>
        <w:keepNext/>
        <w:pageBreakBefore w:val="0"/>
      </w:pPr>
      <w:r>
        <w:rPr>
          <w:rFonts w:ascii="Noto Sans SC" w:hAnsi="Noto Sans SC" w:eastAsia="Noto Sans SC"/>
          <w:b/>
          <w:i w:val="0"/>
          <w:color w:val="16212B"/>
          <w:sz w:val="28"/>
        </w:rPr>
        <w:t>第十五条 个人信息与数据处理</w:t>
      </w:r>
    </w:p>
    <w:p>
      <w:pPr>
        <w:pStyle w:val="ContractClause"/>
      </w:pPr>
      <w:r>
        <w:rPr>
          <w:rFonts w:ascii="Noto Sans SC" w:hAnsi="Noto Sans SC" w:eastAsia="Noto Sans SC"/>
          <w:b/>
          <w:i w:val="0"/>
          <w:color w:val="16212B"/>
          <w:sz w:val="21"/>
        </w:rPr>
        <w:t xml:space="preserve">15.1 </w:t>
      </w:r>
      <w:r>
        <w:rPr>
          <w:rFonts w:ascii="Noto Sans SC" w:hAnsi="Noto Sans SC" w:eastAsia="Noto Sans SC"/>
          <w:b w:val="0"/>
          <w:i w:val="0"/>
          <w:color w:val="16212B"/>
          <w:sz w:val="21"/>
        </w:rPr>
        <w:t>双方仅为项目联系、KOL履约、寄样、结算和证据留存处理必要的姓名、联系方式、收货地址、账号信息及结算主体信息，并各自承担其作为个人信息处理者的法定义务。</w:t>
      </w:r>
    </w:p>
    <w:p>
      <w:pPr>
        <w:pStyle w:val="ContractClause"/>
      </w:pPr>
      <w:r>
        <w:rPr>
          <w:rFonts w:ascii="Noto Sans SC" w:hAnsi="Noto Sans SC" w:eastAsia="Noto Sans SC"/>
          <w:b/>
          <w:i w:val="0"/>
          <w:color w:val="16212B"/>
          <w:sz w:val="21"/>
        </w:rPr>
        <w:t xml:space="preserve">15.2 </w:t>
      </w:r>
      <w:r>
        <w:rPr>
          <w:rFonts w:ascii="Noto Sans SC" w:hAnsi="Noto Sans SC" w:eastAsia="Noto Sans SC"/>
          <w:b w:val="0"/>
          <w:i w:val="0"/>
          <w:color w:val="16212B"/>
          <w:sz w:val="21"/>
        </w:rPr>
        <w:t>乙方不得向甲方提供KOL身份证件、家庭住址、个人银行账户等与甲方验收无关的信息。寄样地址由乙方或其授权物流方管理，甲方确需直接寄样时，乙方应确保具有合法提供依据并采取加密或权限控制。</w:t>
      </w:r>
    </w:p>
    <w:p>
      <w:pPr>
        <w:pStyle w:val="ContractClause"/>
      </w:pPr>
      <w:r>
        <w:rPr>
          <w:rFonts w:ascii="Noto Sans SC" w:hAnsi="Noto Sans SC" w:eastAsia="Noto Sans SC"/>
          <w:b/>
          <w:i w:val="0"/>
          <w:color w:val="16212B"/>
          <w:sz w:val="21"/>
        </w:rPr>
        <w:t xml:space="preserve">15.3 </w:t>
      </w:r>
      <w:r>
        <w:rPr>
          <w:rFonts w:ascii="Noto Sans SC" w:hAnsi="Noto Sans SC" w:eastAsia="Noto Sans SC"/>
          <w:b w:val="0"/>
          <w:i w:val="0"/>
          <w:color w:val="16212B"/>
          <w:sz w:val="21"/>
        </w:rPr>
        <w:t>未经另行书面约定，本项目不收集消费者健康数据、设备数据或评论者个人信息，不开展抽奖报名、用户画像、私信导流或线索收集。需要新增此类活动的，双方应先完成数据流程及合规评估。</w:t>
      </w:r>
    </w:p>
    <w:p>
      <w:pPr>
        <w:pStyle w:val="ContractClause"/>
      </w:pPr>
      <w:r>
        <w:rPr>
          <w:rFonts w:ascii="Noto Sans SC" w:hAnsi="Noto Sans SC" w:eastAsia="Noto Sans SC"/>
          <w:b/>
          <w:i w:val="0"/>
          <w:color w:val="16212B"/>
          <w:sz w:val="21"/>
        </w:rPr>
        <w:t xml:space="preserve">15.4 </w:t>
      </w:r>
      <w:r>
        <w:rPr>
          <w:rFonts w:ascii="Noto Sans SC" w:hAnsi="Noto Sans SC" w:eastAsia="Noto Sans SC"/>
          <w:b w:val="0"/>
          <w:i w:val="0"/>
          <w:color w:val="16212B"/>
          <w:sz w:val="21"/>
        </w:rPr>
        <w:t>项目结束后，乙方应在法定保存期限届满或处理目的实现后删除不再必要的个人信息；合同、发票、付款和争议证据可在法定期限内保留。发生可能影响KOL或甲方权益的数据泄露时，应在24小时内通知对方。</w:t>
      </w:r>
    </w:p>
    <w:p>
      <w:pPr>
        <w:pStyle w:val="Heading1"/>
        <w:keepNext/>
        <w:pageBreakBefore w:val="0"/>
      </w:pPr>
      <w:r>
        <w:rPr>
          <w:rFonts w:ascii="Noto Sans SC" w:hAnsi="Noto Sans SC" w:eastAsia="Noto Sans SC"/>
          <w:b/>
          <w:i w:val="0"/>
          <w:color w:val="16212B"/>
          <w:sz w:val="28"/>
        </w:rPr>
        <w:t>第十六条 保密</w:t>
      </w:r>
    </w:p>
    <w:p>
      <w:pPr>
        <w:pStyle w:val="ContractClause"/>
      </w:pPr>
      <w:r>
        <w:rPr>
          <w:rFonts w:ascii="Noto Sans SC" w:hAnsi="Noto Sans SC" w:eastAsia="Noto Sans SC"/>
          <w:b/>
          <w:i w:val="0"/>
          <w:color w:val="16212B"/>
          <w:sz w:val="21"/>
        </w:rPr>
        <w:t xml:space="preserve">16.1 </w:t>
      </w:r>
      <w:r>
        <w:rPr>
          <w:rFonts w:ascii="Noto Sans SC" w:hAnsi="Noto Sans SC" w:eastAsia="Noto Sans SC"/>
          <w:b w:val="0"/>
          <w:i w:val="0"/>
          <w:color w:val="16212B"/>
          <w:sz w:val="21"/>
        </w:rPr>
        <w:t>保密信息包括未上市产品、样机、价格政策、技术参数、传播计划、媒体与KOL报价、合同条款、未发布内容、后台数据、用户反馈、商业策略及一方明确标识或依性质应当保密的信息。</w:t>
      </w:r>
    </w:p>
    <w:p>
      <w:pPr>
        <w:pStyle w:val="ContractClause"/>
      </w:pPr>
      <w:r>
        <w:rPr>
          <w:rFonts w:ascii="Noto Sans SC" w:hAnsi="Noto Sans SC" w:eastAsia="Noto Sans SC"/>
          <w:b/>
          <w:i w:val="0"/>
          <w:color w:val="16212B"/>
          <w:sz w:val="21"/>
        </w:rPr>
        <w:t xml:space="preserve">16.2 </w:t>
      </w:r>
      <w:r>
        <w:rPr>
          <w:rFonts w:ascii="Noto Sans SC" w:hAnsi="Noto Sans SC" w:eastAsia="Noto Sans SC"/>
          <w:b w:val="0"/>
          <w:i w:val="0"/>
          <w:color w:val="16212B"/>
          <w:sz w:val="21"/>
        </w:rPr>
        <w:t>接收方仅可为履行本合同向确有必要知悉的员工、关联公司、媒体、KOL及专业顾问披露，并应确保其承担不低于本合同的保密义务。</w:t>
      </w:r>
    </w:p>
    <w:p>
      <w:pPr>
        <w:pStyle w:val="ContractClause"/>
      </w:pPr>
      <w:r>
        <w:rPr>
          <w:rFonts w:ascii="Noto Sans SC" w:hAnsi="Noto Sans SC" w:eastAsia="Noto Sans SC"/>
          <w:b/>
          <w:i w:val="0"/>
          <w:color w:val="16212B"/>
          <w:sz w:val="21"/>
        </w:rPr>
        <w:t xml:space="preserve">16.3 </w:t>
      </w:r>
      <w:r>
        <w:rPr>
          <w:rFonts w:ascii="Noto Sans SC" w:hAnsi="Noto Sans SC" w:eastAsia="Noto Sans SC"/>
          <w:b w:val="0"/>
          <w:i w:val="0"/>
          <w:color w:val="16212B"/>
          <w:sz w:val="21"/>
        </w:rPr>
        <w:t>依法已公开、接收方在披露前合法知悉、从无保密义务的第三方合法取得或独立开发的信息不属于保密信息。依法必须披露的，接收方应在法律允许范围内提前通知披露方并协助采取保护措施。</w:t>
      </w:r>
    </w:p>
    <w:p>
      <w:pPr>
        <w:pStyle w:val="ContractClause"/>
      </w:pPr>
      <w:r>
        <w:rPr>
          <w:rFonts w:ascii="Noto Sans SC" w:hAnsi="Noto Sans SC" w:eastAsia="Noto Sans SC"/>
          <w:b/>
          <w:i w:val="0"/>
          <w:color w:val="16212B"/>
          <w:sz w:val="21"/>
        </w:rPr>
        <w:t xml:space="preserve">16.4 </w:t>
      </w:r>
      <w:r>
        <w:rPr>
          <w:rFonts w:ascii="Noto Sans SC" w:hAnsi="Noto Sans SC" w:eastAsia="Noto Sans SC"/>
          <w:b w:val="0"/>
          <w:i w:val="0"/>
          <w:color w:val="16212B"/>
          <w:sz w:val="21"/>
        </w:rPr>
        <w:t>产品上市解禁前信息的保密义务持续至甲方正式公开之日；商业秘密在其依法构成商业秘密期间持续有效；其他保密信息的保密期限为合同终止后五年。</w:t>
      </w:r>
    </w:p>
    <w:p>
      <w:pPr>
        <w:pStyle w:val="Heading1"/>
        <w:keepNext/>
        <w:pageBreakBefore w:val="0"/>
      </w:pPr>
      <w:r>
        <w:rPr>
          <w:rFonts w:ascii="Noto Sans SC" w:hAnsi="Noto Sans SC" w:eastAsia="Noto Sans SC"/>
          <w:b/>
          <w:i w:val="0"/>
          <w:color w:val="16212B"/>
          <w:sz w:val="28"/>
        </w:rPr>
        <w:t>第十七条 分包与人员</w:t>
      </w:r>
    </w:p>
    <w:p>
      <w:pPr>
        <w:pStyle w:val="ContractClause"/>
      </w:pPr>
      <w:r>
        <w:rPr>
          <w:rFonts w:ascii="Noto Sans SC" w:hAnsi="Noto Sans SC" w:eastAsia="Noto Sans SC"/>
          <w:b/>
          <w:i w:val="0"/>
          <w:color w:val="16212B"/>
          <w:sz w:val="21"/>
        </w:rPr>
        <w:t xml:space="preserve">17.1 </w:t>
      </w:r>
      <w:r>
        <w:rPr>
          <w:rFonts w:ascii="Noto Sans SC" w:hAnsi="Noto Sans SC" w:eastAsia="Noto Sans SC"/>
          <w:b w:val="0"/>
          <w:i w:val="0"/>
          <w:color w:val="16212B"/>
          <w:sz w:val="21"/>
        </w:rPr>
        <w:t>甲方同意乙方为媒体采购、KOL经纪、内容制作、监测和物流使用专业供应商，但乙方不得将项目整体转包。乙方对供应商及KOL的行为和交付向甲方负责。</w:t>
      </w:r>
    </w:p>
    <w:p>
      <w:pPr>
        <w:pStyle w:val="ContractClause"/>
      </w:pPr>
      <w:r>
        <w:rPr>
          <w:rFonts w:ascii="Noto Sans SC" w:hAnsi="Noto Sans SC" w:eastAsia="Noto Sans SC"/>
          <w:b/>
          <w:i w:val="0"/>
          <w:color w:val="16212B"/>
          <w:sz w:val="21"/>
        </w:rPr>
        <w:t xml:space="preserve">17.2 </w:t>
      </w:r>
      <w:r>
        <w:rPr>
          <w:rFonts w:ascii="Noto Sans SC" w:hAnsi="Noto Sans SC" w:eastAsia="Noto Sans SC"/>
          <w:b w:val="0"/>
          <w:i w:val="0"/>
          <w:color w:val="16212B"/>
          <w:sz w:val="21"/>
        </w:rPr>
        <w:t>乙方更换项目负责人，应提前两个工作日通知甲方并安排完整交接。关键人员连续两个工作日无法响应且影响排期的，甲方有权要求乙方更换。</w:t>
      </w:r>
    </w:p>
    <w:p>
      <w:pPr>
        <w:pStyle w:val="ContractClause"/>
      </w:pPr>
      <w:r>
        <w:rPr>
          <w:rFonts w:ascii="Noto Sans SC" w:hAnsi="Noto Sans SC" w:eastAsia="Noto Sans SC"/>
          <w:b/>
          <w:i w:val="0"/>
          <w:color w:val="16212B"/>
          <w:sz w:val="21"/>
        </w:rPr>
        <w:t xml:space="preserve">17.3 </w:t>
      </w:r>
      <w:r>
        <w:rPr>
          <w:rFonts w:ascii="Noto Sans SC" w:hAnsi="Noto Sans SC" w:eastAsia="Noto Sans SC"/>
          <w:b w:val="0"/>
          <w:i w:val="0"/>
          <w:color w:val="16212B"/>
          <w:sz w:val="21"/>
        </w:rPr>
        <w:t>乙方应确保其与媒体、KOL及供应商的结算合规，不得因其未付款导致内容删除、权利受限或第三方向甲方追索。</w:t>
      </w:r>
    </w:p>
    <w:p>
      <w:pPr>
        <w:pStyle w:val="Heading1"/>
        <w:keepNext/>
        <w:pageBreakBefore w:val="0"/>
      </w:pPr>
      <w:r>
        <w:rPr>
          <w:rFonts w:ascii="Noto Sans SC" w:hAnsi="Noto Sans SC" w:eastAsia="Noto Sans SC"/>
          <w:b/>
          <w:i w:val="0"/>
          <w:color w:val="16212B"/>
          <w:sz w:val="28"/>
        </w:rPr>
        <w:t>第十八条 需求变更、延期与取消</w:t>
      </w:r>
    </w:p>
    <w:p>
      <w:pPr>
        <w:pStyle w:val="ContractClause"/>
      </w:pPr>
      <w:r>
        <w:rPr>
          <w:rFonts w:ascii="Noto Sans SC" w:hAnsi="Noto Sans SC" w:eastAsia="Noto Sans SC"/>
          <w:b/>
          <w:i w:val="0"/>
          <w:color w:val="16212B"/>
          <w:sz w:val="21"/>
        </w:rPr>
        <w:t xml:space="preserve">18.1 </w:t>
      </w:r>
      <w:r>
        <w:rPr>
          <w:rFonts w:ascii="Noto Sans SC" w:hAnsi="Noto Sans SC" w:eastAsia="Noto Sans SC"/>
          <w:b w:val="0"/>
          <w:i w:val="0"/>
          <w:color w:val="16212B"/>
          <w:sz w:val="21"/>
        </w:rPr>
        <w:t>涉及服务数量、媒体等级、KOL档位、内容形式、授权用途、上市日期或项目周期的变化，应通过变更单确认对价和排期。</w:t>
      </w:r>
    </w:p>
    <w:p>
      <w:pPr>
        <w:pStyle w:val="ContractClause"/>
      </w:pPr>
      <w:r>
        <w:rPr>
          <w:rFonts w:ascii="Noto Sans SC" w:hAnsi="Noto Sans SC" w:eastAsia="Noto Sans SC"/>
          <w:b/>
          <w:i w:val="0"/>
          <w:color w:val="16212B"/>
          <w:sz w:val="21"/>
        </w:rPr>
        <w:t xml:space="preserve">18.2 </w:t>
      </w:r>
      <w:r>
        <w:rPr>
          <w:rFonts w:ascii="Noto Sans SC" w:hAnsi="Noto Sans SC" w:eastAsia="Noto Sans SC"/>
          <w:b w:val="0"/>
          <w:i w:val="0"/>
          <w:color w:val="16212B"/>
          <w:sz w:val="21"/>
        </w:rPr>
        <w:t>甲方在KOL正式下单前取消对应资源位的，不承担该资源位费用；下单后但提纲确认前取消的，承担该资源位合同单价的30%；提纲确认后、拍摄前取消的，承担50%；初稿或成片提交后取消的，承担100%。乙方应提供已发生或不可退费用的证明。</w:t>
      </w:r>
    </w:p>
    <w:p>
      <w:pPr>
        <w:pStyle w:val="ContractClause"/>
      </w:pPr>
      <w:r>
        <w:rPr>
          <w:rFonts w:ascii="Noto Sans SC" w:hAnsi="Noto Sans SC" w:eastAsia="Noto Sans SC"/>
          <w:b/>
          <w:i w:val="0"/>
          <w:color w:val="16212B"/>
          <w:sz w:val="21"/>
        </w:rPr>
        <w:t xml:space="preserve">18.3 </w:t>
      </w:r>
      <w:r>
        <w:rPr>
          <w:rFonts w:ascii="Noto Sans SC" w:hAnsi="Noto Sans SC" w:eastAsia="Noto Sans SC"/>
          <w:b w:val="0"/>
          <w:i w:val="0"/>
          <w:color w:val="16212B"/>
          <w:sz w:val="21"/>
        </w:rPr>
        <w:t>媒体发布稿进入媒体排期后取消的，甲方承担已实际发生且不可退的媒体费用；乙方服务费按已完成工作结算。</w:t>
      </w:r>
    </w:p>
    <w:p>
      <w:pPr>
        <w:pStyle w:val="ContractClause"/>
      </w:pPr>
      <w:r>
        <w:rPr>
          <w:rFonts w:ascii="Noto Sans SC" w:hAnsi="Noto Sans SC" w:eastAsia="Noto Sans SC"/>
          <w:b/>
          <w:i w:val="0"/>
          <w:color w:val="16212B"/>
          <w:sz w:val="21"/>
        </w:rPr>
        <w:t xml:space="preserve">18.4 </w:t>
      </w:r>
      <w:r>
        <w:rPr>
          <w:rFonts w:ascii="Noto Sans SC" w:hAnsi="Noto Sans SC" w:eastAsia="Noto Sans SC"/>
          <w:b w:val="0"/>
          <w:i w:val="0"/>
          <w:color w:val="16212B"/>
          <w:sz w:val="21"/>
        </w:rPr>
        <w:t>甲方将上市日整体延后不超过30日且在资源可调整范围内的，乙方应协助改期，不另收项目管理费；因KOL无法改期产生的替换或差价，由双方根据原因和凭证另行确认。</w:t>
      </w:r>
    </w:p>
    <w:p>
      <w:pPr>
        <w:pStyle w:val="ContractClause"/>
      </w:pPr>
      <w:r>
        <w:rPr>
          <w:rFonts w:ascii="Noto Sans SC" w:hAnsi="Noto Sans SC" w:eastAsia="Noto Sans SC"/>
          <w:b/>
          <w:i w:val="0"/>
          <w:color w:val="16212B"/>
          <w:sz w:val="21"/>
        </w:rPr>
        <w:t xml:space="preserve">18.5 </w:t>
      </w:r>
      <w:r>
        <w:rPr>
          <w:rFonts w:ascii="Noto Sans SC" w:hAnsi="Noto Sans SC" w:eastAsia="Noto Sans SC"/>
          <w:b w:val="0"/>
          <w:i w:val="0"/>
          <w:color w:val="16212B"/>
          <w:sz w:val="21"/>
        </w:rPr>
        <w:t>乙方预见无法按期履约时，应立即通知甲方并提供补救计划。未提前说明且非因甲方、平台或不可抗力造成的延误，乙方承担相应违约责任。</w:t>
      </w:r>
    </w:p>
    <w:p>
      <w:pPr>
        <w:pStyle w:val="Heading1"/>
        <w:keepNext/>
        <w:pageBreakBefore w:val="0"/>
      </w:pPr>
      <w:r>
        <w:rPr>
          <w:rFonts w:ascii="Noto Sans SC" w:hAnsi="Noto Sans SC" w:eastAsia="Noto Sans SC"/>
          <w:b/>
          <w:i w:val="0"/>
          <w:color w:val="16212B"/>
          <w:sz w:val="28"/>
        </w:rPr>
        <w:t>第十九条 舆情、下架与纠错</w:t>
      </w:r>
    </w:p>
    <w:p>
      <w:pPr>
        <w:pStyle w:val="ContractClause"/>
      </w:pPr>
      <w:r>
        <w:rPr>
          <w:rFonts w:ascii="Noto Sans SC" w:hAnsi="Noto Sans SC" w:eastAsia="Noto Sans SC"/>
          <w:b/>
          <w:i w:val="0"/>
          <w:color w:val="16212B"/>
          <w:sz w:val="21"/>
        </w:rPr>
        <w:t xml:space="preserve">19.1 </w:t>
      </w:r>
      <w:r>
        <w:rPr>
          <w:rFonts w:ascii="Noto Sans SC" w:hAnsi="Noto Sans SC" w:eastAsia="Noto Sans SC"/>
          <w:b w:val="0"/>
          <w:i w:val="0"/>
          <w:color w:val="16212B"/>
          <w:sz w:val="21"/>
        </w:rPr>
        <w:t>乙方在上市日前七日及首批内容上线后七日内提供每日舆情摘要，重点标记产品安全、隐私、健康功能、价格、售后和数据真实性争议。</w:t>
      </w:r>
    </w:p>
    <w:p>
      <w:pPr>
        <w:pStyle w:val="ContractClause"/>
      </w:pPr>
      <w:r>
        <w:rPr>
          <w:rFonts w:ascii="Noto Sans SC" w:hAnsi="Noto Sans SC" w:eastAsia="Noto Sans SC"/>
          <w:b/>
          <w:i w:val="0"/>
          <w:color w:val="16212B"/>
          <w:sz w:val="21"/>
        </w:rPr>
        <w:t xml:space="preserve">19.2 </w:t>
      </w:r>
      <w:r>
        <w:rPr>
          <w:rFonts w:ascii="Noto Sans SC" w:hAnsi="Noto Sans SC" w:eastAsia="Noto Sans SC"/>
          <w:b w:val="0"/>
          <w:i w:val="0"/>
          <w:color w:val="16212B"/>
          <w:sz w:val="21"/>
        </w:rPr>
        <w:t>发生红色事件，即涉嫌人身安全事故、监管调查、重大产品缺陷、广泛传播的虚假信息或核心KOL严重不当行为时，乙方应在知悉后30分钟内通知甲方，并在两小时内提交已掌握事实、传播范围和建议动作。</w:t>
      </w:r>
    </w:p>
    <w:p>
      <w:pPr>
        <w:pStyle w:val="ContractClause"/>
      </w:pPr>
      <w:r>
        <w:rPr>
          <w:rFonts w:ascii="Noto Sans SC" w:hAnsi="Noto Sans SC" w:eastAsia="Noto Sans SC"/>
          <w:b/>
          <w:i w:val="0"/>
          <w:color w:val="16212B"/>
          <w:sz w:val="21"/>
        </w:rPr>
        <w:t xml:space="preserve">19.3 </w:t>
      </w:r>
      <w:r>
        <w:rPr>
          <w:rFonts w:ascii="Noto Sans SC" w:hAnsi="Noto Sans SC" w:eastAsia="Noto Sans SC"/>
          <w:b w:val="0"/>
          <w:i w:val="0"/>
          <w:color w:val="16212B"/>
          <w:sz w:val="21"/>
        </w:rPr>
        <w:t>甲方有权基于法律、产品安全或重大品牌风险要求暂停、隐藏、更正或删除内容。紧急情况下，乙方应先采取可逆的限流、隐藏或评论管控措施，再与甲方确认最终处理。</w:t>
      </w:r>
    </w:p>
    <w:p>
      <w:pPr>
        <w:pStyle w:val="ContractClause"/>
      </w:pPr>
      <w:r>
        <w:rPr>
          <w:rFonts w:ascii="Noto Sans SC" w:hAnsi="Noto Sans SC" w:eastAsia="Noto Sans SC"/>
          <w:b/>
          <w:i w:val="0"/>
          <w:color w:val="16212B"/>
          <w:sz w:val="21"/>
        </w:rPr>
        <w:t xml:space="preserve">19.4 </w:t>
      </w:r>
      <w:r>
        <w:rPr>
          <w:rFonts w:ascii="Noto Sans SC" w:hAnsi="Noto Sans SC" w:eastAsia="Noto Sans SC"/>
          <w:b w:val="0"/>
          <w:i w:val="0"/>
          <w:color w:val="16212B"/>
          <w:sz w:val="21"/>
        </w:rPr>
        <w:t>因甲方提供的产品事实、资质或指令导致纠错或下架的，已完成交付视为履行，新增制作和发布费用由甲方承担；因乙方或KOL擅自发布、虚构体验或侵权导致的，由乙方免费补救并承担责任。</w:t>
      </w:r>
    </w:p>
    <w:p>
      <w:pPr>
        <w:pStyle w:val="ContractClause"/>
      </w:pPr>
      <w:r>
        <w:rPr>
          <w:rFonts w:ascii="Noto Sans SC" w:hAnsi="Noto Sans SC" w:eastAsia="Noto Sans SC"/>
          <w:b/>
          <w:i w:val="0"/>
          <w:color w:val="16212B"/>
          <w:sz w:val="21"/>
        </w:rPr>
        <w:t xml:space="preserve">19.5 </w:t>
      </w:r>
      <w:r>
        <w:rPr>
          <w:rFonts w:ascii="Noto Sans SC" w:hAnsi="Noto Sans SC" w:eastAsia="Noto Sans SC"/>
          <w:b w:val="0"/>
          <w:i w:val="0"/>
          <w:color w:val="16212B"/>
          <w:sz w:val="21"/>
        </w:rPr>
        <w:t>未经甲方书面授权，乙方及KOL不得以甲方名义向媒体、监管机构或公众发布危机声明。</w:t>
      </w:r>
    </w:p>
    <w:p>
      <w:pPr>
        <w:pStyle w:val="Heading1"/>
        <w:keepNext/>
        <w:pageBreakBefore w:val="0"/>
      </w:pPr>
      <w:r>
        <w:rPr>
          <w:rFonts w:ascii="Noto Sans SC" w:hAnsi="Noto Sans SC" w:eastAsia="Noto Sans SC"/>
          <w:b/>
          <w:i w:val="0"/>
          <w:color w:val="16212B"/>
          <w:sz w:val="28"/>
        </w:rPr>
        <w:t>第二十条 陈述与保证</w:t>
      </w:r>
    </w:p>
    <w:p>
      <w:pPr>
        <w:pStyle w:val="ContractClause"/>
      </w:pPr>
      <w:r>
        <w:rPr>
          <w:rFonts w:ascii="Noto Sans SC" w:hAnsi="Noto Sans SC" w:eastAsia="Noto Sans SC"/>
          <w:b/>
          <w:i w:val="0"/>
          <w:color w:val="16212B"/>
          <w:sz w:val="21"/>
        </w:rPr>
        <w:t xml:space="preserve">20.1 </w:t>
      </w:r>
      <w:r>
        <w:rPr>
          <w:rFonts w:ascii="Noto Sans SC" w:hAnsi="Noto Sans SC" w:eastAsia="Noto Sans SC"/>
          <w:b w:val="0"/>
          <w:i w:val="0"/>
          <w:color w:val="16212B"/>
          <w:sz w:val="21"/>
        </w:rPr>
        <w:t>双方均为依法设立并有效存续的主体，具有签署和履行本合同的权限，签署人已获得充分授权。</w:t>
      </w:r>
    </w:p>
    <w:p>
      <w:pPr>
        <w:pStyle w:val="ContractClause"/>
      </w:pPr>
      <w:r>
        <w:rPr>
          <w:rFonts w:ascii="Noto Sans SC" w:hAnsi="Noto Sans SC" w:eastAsia="Noto Sans SC"/>
          <w:b/>
          <w:i w:val="0"/>
          <w:color w:val="16212B"/>
          <w:sz w:val="21"/>
        </w:rPr>
        <w:t xml:space="preserve">20.2 </w:t>
      </w:r>
      <w:r>
        <w:rPr>
          <w:rFonts w:ascii="Noto Sans SC" w:hAnsi="Noto Sans SC" w:eastAsia="Noto Sans SC"/>
          <w:b w:val="0"/>
          <w:i w:val="0"/>
          <w:color w:val="16212B"/>
          <w:sz w:val="21"/>
        </w:rPr>
        <w:t>甲方保证产品可以依法销售，其提供的素材和宣传依据真实、合法、不侵犯第三方权利；发现产品参数、上市安排或风险提示变化时及时通知乙方。</w:t>
      </w:r>
    </w:p>
    <w:p>
      <w:pPr>
        <w:pStyle w:val="ContractClause"/>
      </w:pPr>
      <w:r>
        <w:rPr>
          <w:rFonts w:ascii="Noto Sans SC" w:hAnsi="Noto Sans SC" w:eastAsia="Noto Sans SC"/>
          <w:b/>
          <w:i w:val="0"/>
          <w:color w:val="16212B"/>
          <w:sz w:val="21"/>
        </w:rPr>
        <w:t xml:space="preserve">20.3 </w:t>
      </w:r>
      <w:r>
        <w:rPr>
          <w:rFonts w:ascii="Noto Sans SC" w:hAnsi="Noto Sans SC" w:eastAsia="Noto Sans SC"/>
          <w:b w:val="0"/>
          <w:i w:val="0"/>
          <w:color w:val="16212B"/>
          <w:sz w:val="21"/>
        </w:rPr>
        <w:t>乙方保证具备履约所需能力，不以非法或明显不当方式取得媒体发布和KOL资源，不向甲方员工、媒体人员或其他主体提供商业贿赂。</w:t>
      </w:r>
    </w:p>
    <w:p>
      <w:pPr>
        <w:pStyle w:val="ContractClause"/>
      </w:pPr>
      <w:r>
        <w:rPr>
          <w:rFonts w:ascii="Noto Sans SC" w:hAnsi="Noto Sans SC" w:eastAsia="Noto Sans SC"/>
          <w:b/>
          <w:i w:val="0"/>
          <w:color w:val="16212B"/>
          <w:sz w:val="21"/>
        </w:rPr>
        <w:t xml:space="preserve">20.4 </w:t>
      </w:r>
      <w:r>
        <w:rPr>
          <w:rFonts w:ascii="Noto Sans SC" w:hAnsi="Noto Sans SC" w:eastAsia="Noto Sans SC"/>
          <w:b w:val="0"/>
          <w:i w:val="0"/>
          <w:color w:val="16212B"/>
          <w:sz w:val="21"/>
        </w:rPr>
        <w:t>乙方不得未经许可对甲方产品进行拆解、破解、绕过安全措施或公开尚未发布的软件功能；正常体验、拍摄和为核验功能进行的设置不受影响。</w:t>
      </w:r>
    </w:p>
    <w:p>
      <w:pPr>
        <w:pStyle w:val="Heading1"/>
        <w:keepNext/>
        <w:pageBreakBefore w:val="0"/>
      </w:pPr>
      <w:r>
        <w:rPr>
          <w:rFonts w:ascii="Noto Sans SC" w:hAnsi="Noto Sans SC" w:eastAsia="Noto Sans SC"/>
          <w:b/>
          <w:i w:val="0"/>
          <w:color w:val="16212B"/>
          <w:sz w:val="28"/>
        </w:rPr>
        <w:t>第二十一条 违约责任</w:t>
      </w:r>
    </w:p>
    <w:p>
      <w:pPr>
        <w:pStyle w:val="ContractClause"/>
      </w:pPr>
      <w:r>
        <w:rPr>
          <w:rFonts w:ascii="Noto Sans SC" w:hAnsi="Noto Sans SC" w:eastAsia="Noto Sans SC"/>
          <w:b/>
          <w:i w:val="0"/>
          <w:color w:val="16212B"/>
          <w:sz w:val="21"/>
        </w:rPr>
        <w:t xml:space="preserve">21.1 </w:t>
      </w:r>
      <w:r>
        <w:rPr>
          <w:rFonts w:ascii="Noto Sans SC" w:hAnsi="Noto Sans SC" w:eastAsia="Noto Sans SC"/>
          <w:b w:val="0"/>
          <w:i w:val="0"/>
          <w:color w:val="16212B"/>
          <w:sz w:val="21"/>
        </w:rPr>
        <w:t>甲方逾期支付无争议款项的，每逾期一日按应付未付金额的万分之三支付违约金，累计不超过逾期金额的5%；逾期超过15日且经催告后仍未支付的，乙方可暂停未发生的资源采购。</w:t>
      </w:r>
    </w:p>
    <w:p>
      <w:pPr>
        <w:pStyle w:val="ContractClause"/>
      </w:pPr>
      <w:r>
        <w:rPr>
          <w:rFonts w:ascii="Noto Sans SC" w:hAnsi="Noto Sans SC" w:eastAsia="Noto Sans SC"/>
          <w:b/>
          <w:i w:val="0"/>
          <w:color w:val="16212B"/>
          <w:sz w:val="21"/>
        </w:rPr>
        <w:t xml:space="preserve">21.2 </w:t>
      </w:r>
      <w:r>
        <w:rPr>
          <w:rFonts w:ascii="Noto Sans SC" w:hAnsi="Noto Sans SC" w:eastAsia="Noto Sans SC"/>
          <w:b w:val="0"/>
          <w:i w:val="0"/>
          <w:color w:val="16212B"/>
          <w:sz w:val="21"/>
        </w:rPr>
        <w:t>乙方因自身原因未按期完成单项交付的，每逾期一日按该项附件四含税价的千分之一支付违约金，累计不超过该项价款的10%；逾期超过十个自然日或错过上市窗口导致合同目的不能实现的，甲方可取消该项并要求退还对应价款。</w:t>
      </w:r>
    </w:p>
    <w:p>
      <w:pPr>
        <w:pStyle w:val="ContractClause"/>
      </w:pPr>
      <w:r>
        <w:rPr>
          <w:rFonts w:ascii="Noto Sans SC" w:hAnsi="Noto Sans SC" w:eastAsia="Noto Sans SC"/>
          <w:b/>
          <w:i w:val="0"/>
          <w:color w:val="16212B"/>
          <w:sz w:val="21"/>
        </w:rPr>
        <w:t xml:space="preserve">21.3 </w:t>
      </w:r>
      <w:r>
        <w:rPr>
          <w:rFonts w:ascii="Noto Sans SC" w:hAnsi="Noto Sans SC" w:eastAsia="Noto Sans SC"/>
          <w:b w:val="0"/>
          <w:i w:val="0"/>
          <w:color w:val="16212B"/>
          <w:sz w:val="21"/>
        </w:rPr>
        <w:t>乙方擅自降低媒体或KOL等级、虚构发布、伪造数据、指示刷量或隐瞒商业合作关系的，甲方有权拒绝验收，要求乙方退还对应项目价款，并按该项目价款的30%支付违约金；不足以弥补损失的，乙方继续赔偿。</w:t>
      </w:r>
    </w:p>
    <w:p>
      <w:pPr>
        <w:pStyle w:val="ContractClause"/>
      </w:pPr>
      <w:r>
        <w:rPr>
          <w:rFonts w:ascii="Noto Sans SC" w:hAnsi="Noto Sans SC" w:eastAsia="Noto Sans SC"/>
          <w:b/>
          <w:i w:val="0"/>
          <w:color w:val="16212B"/>
          <w:sz w:val="21"/>
        </w:rPr>
        <w:t xml:space="preserve">21.4 </w:t>
      </w:r>
      <w:r>
        <w:rPr>
          <w:rFonts w:ascii="Noto Sans SC" w:hAnsi="Noto Sans SC" w:eastAsia="Noto Sans SC"/>
          <w:b w:val="0"/>
          <w:i w:val="0"/>
          <w:color w:val="16212B"/>
          <w:sz w:val="21"/>
        </w:rPr>
        <w:t>任何一方违反保密、知识产权、个人信息或商业贿赂条款的，应立即停止违约、采取补救并赔偿对方因此遭受的实际损失、行政罚款、第三方索赔及合理维权费用。行政罚款的赔偿以有权机关认定的责任归属为基础。</w:t>
      </w:r>
    </w:p>
    <w:p>
      <w:pPr>
        <w:pStyle w:val="ContractClause"/>
      </w:pPr>
      <w:r>
        <w:rPr>
          <w:rFonts w:ascii="Noto Sans SC" w:hAnsi="Noto Sans SC" w:eastAsia="Noto Sans SC"/>
          <w:b/>
          <w:i w:val="0"/>
          <w:color w:val="16212B"/>
          <w:sz w:val="21"/>
        </w:rPr>
        <w:t xml:space="preserve">21.5 </w:t>
      </w:r>
      <w:r>
        <w:rPr>
          <w:rFonts w:ascii="Noto Sans SC" w:hAnsi="Noto Sans SC" w:eastAsia="Noto Sans SC"/>
          <w:b w:val="0"/>
          <w:i w:val="0"/>
          <w:color w:val="16212B"/>
          <w:sz w:val="21"/>
        </w:rPr>
        <w:t>一方应采取合理措施避免损失扩大；可通过更正、补发或替换有效补救而无正当理由拒绝补救的，扩大部分不得向违约方主张。</w:t>
      </w:r>
    </w:p>
    <w:p>
      <w:pPr>
        <w:pStyle w:val="Heading1"/>
        <w:keepNext/>
        <w:pageBreakBefore w:val="0"/>
      </w:pPr>
      <w:r>
        <w:rPr>
          <w:rFonts w:ascii="Noto Sans SC" w:hAnsi="Noto Sans SC" w:eastAsia="Noto Sans SC"/>
          <w:b/>
          <w:i w:val="0"/>
          <w:color w:val="16212B"/>
          <w:sz w:val="28"/>
        </w:rPr>
        <w:t>第二十二条 赔偿与责任限制</w:t>
      </w:r>
    </w:p>
    <w:p>
      <w:pPr>
        <w:pStyle w:val="ContractClause"/>
      </w:pPr>
      <w:r>
        <w:rPr>
          <w:rFonts w:ascii="Noto Sans SC" w:hAnsi="Noto Sans SC" w:eastAsia="Noto Sans SC"/>
          <w:b/>
          <w:i w:val="0"/>
          <w:color w:val="16212B"/>
          <w:sz w:val="21"/>
        </w:rPr>
        <w:t xml:space="preserve">22.1 </w:t>
      </w:r>
      <w:r>
        <w:rPr>
          <w:rFonts w:ascii="Noto Sans SC" w:hAnsi="Noto Sans SC" w:eastAsia="Noto Sans SC"/>
          <w:b w:val="0"/>
          <w:i w:val="0"/>
          <w:color w:val="16212B"/>
          <w:sz w:val="21"/>
        </w:rPr>
        <w:t>因甲方提供的产品、资质、数据、素材或强制指令违法、失实或侵权导致媒体、KOL或第三方索赔的，由甲方负责处理并赔偿乙方合理损失，但乙方明知或应知存在明显违法风险仍发布的，应按过错承担责任。</w:t>
      </w:r>
    </w:p>
    <w:p>
      <w:pPr>
        <w:pStyle w:val="ContractClause"/>
      </w:pPr>
      <w:r>
        <w:rPr>
          <w:rFonts w:ascii="Noto Sans SC" w:hAnsi="Noto Sans SC" w:eastAsia="Noto Sans SC"/>
          <w:b/>
          <w:i w:val="0"/>
          <w:color w:val="16212B"/>
          <w:sz w:val="21"/>
        </w:rPr>
        <w:t xml:space="preserve">22.2 </w:t>
      </w:r>
      <w:r>
        <w:rPr>
          <w:rFonts w:ascii="Noto Sans SC" w:hAnsi="Noto Sans SC" w:eastAsia="Noto Sans SC"/>
          <w:b w:val="0"/>
          <w:i w:val="0"/>
          <w:color w:val="16212B"/>
          <w:sz w:val="21"/>
        </w:rPr>
        <w:t>因乙方或其KOL未经批准擅自增加表述、使用无权素材、虚构体验、违反广告标识或数据造假导致甲方被索赔、处罚或遭受品牌损失的，由乙方负责处理并赔偿甲方合理损失。</w:t>
      </w:r>
    </w:p>
    <w:p>
      <w:pPr>
        <w:pStyle w:val="ContractClause"/>
      </w:pPr>
      <w:r>
        <w:rPr>
          <w:rFonts w:ascii="Noto Sans SC" w:hAnsi="Noto Sans SC" w:eastAsia="Noto Sans SC"/>
          <w:b/>
          <w:i w:val="0"/>
          <w:color w:val="16212B"/>
          <w:sz w:val="21"/>
        </w:rPr>
        <w:t xml:space="preserve">22.3 </w:t>
      </w:r>
      <w:r>
        <w:rPr>
          <w:rFonts w:ascii="Noto Sans SC" w:hAnsi="Noto Sans SC" w:eastAsia="Noto Sans SC"/>
          <w:b w:val="0"/>
          <w:i w:val="0"/>
          <w:color w:val="16212B"/>
          <w:sz w:val="21"/>
        </w:rPr>
        <w:t>除故意或重大过失、商业贿赂、保密、知识产权、个人信息、人身损害及依法不得限制的责任外，任一方在本合同项下的累计赔偿责任以合同含税总价为上限。</w:t>
      </w:r>
    </w:p>
    <w:p>
      <w:pPr>
        <w:pStyle w:val="ContractClause"/>
      </w:pPr>
      <w:r>
        <w:rPr>
          <w:rFonts w:ascii="Noto Sans SC" w:hAnsi="Noto Sans SC" w:eastAsia="Noto Sans SC"/>
          <w:b/>
          <w:i w:val="0"/>
          <w:color w:val="16212B"/>
          <w:sz w:val="21"/>
        </w:rPr>
        <w:t xml:space="preserve">22.4 </w:t>
      </w:r>
      <w:r>
        <w:rPr>
          <w:rFonts w:ascii="Noto Sans SC" w:hAnsi="Noto Sans SC" w:eastAsia="Noto Sans SC"/>
          <w:b w:val="0"/>
          <w:i w:val="0"/>
          <w:color w:val="16212B"/>
          <w:sz w:val="21"/>
        </w:rPr>
        <w:t>在法律允许范围内，任何一方不对另一方的间接损失、预期利润损失或因平台算法变化产生的机会损失承担责任；但违约方订约时可合理预见且有充分证据证明的直接商业损失不因其名称而当然排除。</w:t>
      </w:r>
    </w:p>
    <w:p>
      <w:pPr>
        <w:pStyle w:val="Heading1"/>
        <w:keepNext/>
        <w:pageBreakBefore w:val="0"/>
      </w:pPr>
      <w:r>
        <w:rPr>
          <w:rFonts w:ascii="Noto Sans SC" w:hAnsi="Noto Sans SC" w:eastAsia="Noto Sans SC"/>
          <w:b/>
          <w:i w:val="0"/>
          <w:color w:val="16212B"/>
          <w:sz w:val="28"/>
        </w:rPr>
        <w:t>第二十三条 不可抗力与平台变化</w:t>
      </w:r>
    </w:p>
    <w:p>
      <w:pPr>
        <w:pStyle w:val="ContractClause"/>
      </w:pPr>
      <w:r>
        <w:rPr>
          <w:rFonts w:ascii="Noto Sans SC" w:hAnsi="Noto Sans SC" w:eastAsia="Noto Sans SC"/>
          <w:b/>
          <w:i w:val="0"/>
          <w:color w:val="16212B"/>
          <w:sz w:val="21"/>
        </w:rPr>
        <w:t xml:space="preserve">23.1 </w:t>
      </w:r>
      <w:r>
        <w:rPr>
          <w:rFonts w:ascii="Noto Sans SC" w:hAnsi="Noto Sans SC" w:eastAsia="Noto Sans SC"/>
          <w:b w:val="0"/>
          <w:i w:val="0"/>
          <w:color w:val="16212B"/>
          <w:sz w:val="21"/>
        </w:rPr>
        <w:t>不可抗力包括不能预见、不能避免且不能克服的自然灾害、政府行为、重大公共卫生事件、战争及大范围基础设施中断。受影响方应在两个工作日内通知并在合理期限内提供证明和减损方案。</w:t>
      </w:r>
    </w:p>
    <w:p>
      <w:pPr>
        <w:pStyle w:val="ContractClause"/>
      </w:pPr>
      <w:r>
        <w:rPr>
          <w:rFonts w:ascii="Noto Sans SC" w:hAnsi="Noto Sans SC" w:eastAsia="Noto Sans SC"/>
          <w:b/>
          <w:i w:val="0"/>
          <w:color w:val="16212B"/>
          <w:sz w:val="21"/>
        </w:rPr>
        <w:t xml:space="preserve">23.2 </w:t>
      </w:r>
      <w:r>
        <w:rPr>
          <w:rFonts w:ascii="Noto Sans SC" w:hAnsi="Noto Sans SC" w:eastAsia="Noto Sans SC"/>
          <w:b w:val="0"/>
          <w:i w:val="0"/>
          <w:color w:val="16212B"/>
          <w:sz w:val="21"/>
        </w:rPr>
        <w:t>媒体临时政策、平台审核或算法调整不当然构成不可抗力。乙方应先通过修改、替换、改期等合理措施履约；确实无法履行且非因乙方违规造成的，双方按已完成工作和可退回费用结算。</w:t>
      </w:r>
    </w:p>
    <w:p>
      <w:pPr>
        <w:pStyle w:val="ContractClause"/>
      </w:pPr>
      <w:r>
        <w:rPr>
          <w:rFonts w:ascii="Noto Sans SC" w:hAnsi="Noto Sans SC" w:eastAsia="Noto Sans SC"/>
          <w:b/>
          <w:i w:val="0"/>
          <w:color w:val="16212B"/>
          <w:sz w:val="21"/>
        </w:rPr>
        <w:t xml:space="preserve">23.3 </w:t>
      </w:r>
      <w:r>
        <w:rPr>
          <w:rFonts w:ascii="Noto Sans SC" w:hAnsi="Noto Sans SC" w:eastAsia="Noto Sans SC"/>
          <w:b w:val="0"/>
          <w:i w:val="0"/>
          <w:color w:val="16212B"/>
          <w:sz w:val="21"/>
        </w:rPr>
        <w:t>不可抗力持续超过30日，或导致上市窗口完全丧失的，任一方可解除未履行部分，双方据实结算，不互相承担违约责任。</w:t>
      </w:r>
    </w:p>
    <w:p>
      <w:pPr>
        <w:pStyle w:val="Heading1"/>
        <w:keepNext/>
        <w:pageBreakBefore w:val="0"/>
      </w:pPr>
      <w:r>
        <w:rPr>
          <w:rFonts w:ascii="Noto Sans SC" w:hAnsi="Noto Sans SC" w:eastAsia="Noto Sans SC"/>
          <w:b/>
          <w:i w:val="0"/>
          <w:color w:val="16212B"/>
          <w:sz w:val="28"/>
        </w:rPr>
        <w:t>第二十四条 合同期限、暂停与解除</w:t>
      </w:r>
    </w:p>
    <w:p>
      <w:pPr>
        <w:pStyle w:val="ContractClause"/>
      </w:pPr>
      <w:r>
        <w:rPr>
          <w:rFonts w:ascii="Noto Sans SC" w:hAnsi="Noto Sans SC" w:eastAsia="Noto Sans SC"/>
          <w:b/>
          <w:i w:val="0"/>
          <w:color w:val="16212B"/>
          <w:sz w:val="21"/>
        </w:rPr>
        <w:t xml:space="preserve">24.1 </w:t>
      </w:r>
      <w:r>
        <w:rPr>
          <w:rFonts w:ascii="Noto Sans SC" w:hAnsi="Noto Sans SC" w:eastAsia="Noto Sans SC"/>
          <w:b w:val="0"/>
          <w:i w:val="0"/>
          <w:color w:val="16212B"/>
          <w:sz w:val="21"/>
        </w:rPr>
        <w:t>本合同自双方盖章或完成有效电子签署之日起生效，至双方义务履行完毕之日终止；依其性质应持续有效的保密、知识产权、数据、结算和争议解决条款不受终止影响。</w:t>
      </w:r>
    </w:p>
    <w:p>
      <w:pPr>
        <w:pStyle w:val="ContractClause"/>
      </w:pPr>
      <w:r>
        <w:rPr>
          <w:rFonts w:ascii="Noto Sans SC" w:hAnsi="Noto Sans SC" w:eastAsia="Noto Sans SC"/>
          <w:b/>
          <w:i w:val="0"/>
          <w:color w:val="16212B"/>
          <w:sz w:val="21"/>
        </w:rPr>
        <w:t xml:space="preserve">24.2 </w:t>
      </w:r>
      <w:r>
        <w:rPr>
          <w:rFonts w:ascii="Noto Sans SC" w:hAnsi="Noto Sans SC" w:eastAsia="Noto Sans SC"/>
          <w:b w:val="0"/>
          <w:i w:val="0"/>
          <w:color w:val="16212B"/>
          <w:sz w:val="21"/>
        </w:rPr>
        <w:t>一方严重违反合同且在收到书面催告后五个工作日内未改正，或明确表示不履行主要义务的，守约方有权解除合同并要求赔偿。</w:t>
      </w:r>
    </w:p>
    <w:p>
      <w:pPr>
        <w:pStyle w:val="ContractClause"/>
      </w:pPr>
      <w:r>
        <w:rPr>
          <w:rFonts w:ascii="Noto Sans SC" w:hAnsi="Noto Sans SC" w:eastAsia="Noto Sans SC"/>
          <w:b/>
          <w:i w:val="0"/>
          <w:color w:val="16212B"/>
          <w:sz w:val="21"/>
        </w:rPr>
        <w:t xml:space="preserve">24.3 </w:t>
      </w:r>
      <w:r>
        <w:rPr>
          <w:rFonts w:ascii="Noto Sans SC" w:hAnsi="Noto Sans SC" w:eastAsia="Noto Sans SC"/>
          <w:b w:val="0"/>
          <w:i w:val="0"/>
          <w:color w:val="16212B"/>
          <w:sz w:val="21"/>
        </w:rPr>
        <w:t>一方进入破产清算、被吊销营业执照、停止经营或发生足以严重影响履约能力的重大事件，另一方可要求提供履约保障；未在合理期限内提供的，可解除未履行部分。</w:t>
      </w:r>
    </w:p>
    <w:p>
      <w:pPr>
        <w:pStyle w:val="ContractClause"/>
      </w:pPr>
      <w:r>
        <w:rPr>
          <w:rFonts w:ascii="Noto Sans SC" w:hAnsi="Noto Sans SC" w:eastAsia="Noto Sans SC"/>
          <w:b/>
          <w:i w:val="0"/>
          <w:color w:val="16212B"/>
          <w:sz w:val="21"/>
        </w:rPr>
        <w:t xml:space="preserve">24.4 </w:t>
      </w:r>
      <w:r>
        <w:rPr>
          <w:rFonts w:ascii="Noto Sans SC" w:hAnsi="Noto Sans SC" w:eastAsia="Noto Sans SC"/>
          <w:b w:val="0"/>
          <w:i w:val="0"/>
          <w:color w:val="16212B"/>
          <w:sz w:val="21"/>
        </w:rPr>
        <w:t>合同解除或终止后，乙方应在十个工作日内移交已完成成果、发布证据、甲方素材和样机，双方按已验收工作、不可退第三方成本及责任归属结算。</w:t>
      </w:r>
    </w:p>
    <w:p>
      <w:pPr>
        <w:pStyle w:val="Heading1"/>
        <w:keepNext/>
        <w:pageBreakBefore w:val="0"/>
      </w:pPr>
      <w:r>
        <w:rPr>
          <w:rFonts w:ascii="Noto Sans SC" w:hAnsi="Noto Sans SC" w:eastAsia="Noto Sans SC"/>
          <w:b/>
          <w:i w:val="0"/>
          <w:color w:val="16212B"/>
          <w:sz w:val="28"/>
        </w:rPr>
        <w:t>第二十五条 通知</w:t>
      </w:r>
    </w:p>
    <w:p>
      <w:pPr>
        <w:pStyle w:val="ContractClause"/>
      </w:pPr>
      <w:r>
        <w:rPr>
          <w:rFonts w:ascii="Noto Sans SC" w:hAnsi="Noto Sans SC" w:eastAsia="Noto Sans SC"/>
          <w:b/>
          <w:i w:val="0"/>
          <w:color w:val="16212B"/>
          <w:sz w:val="21"/>
        </w:rPr>
        <w:t xml:space="preserve">25.1 </w:t>
      </w:r>
      <w:r>
        <w:rPr>
          <w:rFonts w:ascii="Noto Sans SC" w:hAnsi="Noto Sans SC" w:eastAsia="Noto Sans SC"/>
          <w:b w:val="0"/>
          <w:i w:val="0"/>
          <w:color w:val="16212B"/>
          <w:sz w:val="21"/>
        </w:rPr>
        <w:t>正式通知可通过专人、快递或合同指定电子邮箱送达。快递以签收日为送达日；拒收、地址错误或无人签收的，以首次投递后第三日视为送达；电子邮件以发送成功且未收到系统退信之日视为送达。</w:t>
      </w:r>
    </w:p>
    <w:p>
      <w:pPr>
        <w:pStyle w:val="ContractClause"/>
      </w:pPr>
      <w:r>
        <w:rPr>
          <w:rFonts w:ascii="Noto Sans SC" w:hAnsi="Noto Sans SC" w:eastAsia="Noto Sans SC"/>
          <w:b/>
          <w:i w:val="0"/>
          <w:color w:val="16212B"/>
          <w:sz w:val="21"/>
        </w:rPr>
        <w:t xml:space="preserve">25.2 </w:t>
      </w:r>
      <w:r>
        <w:rPr>
          <w:rFonts w:ascii="Noto Sans SC" w:hAnsi="Noto Sans SC" w:eastAsia="Noto Sans SC"/>
          <w:b w:val="0"/>
          <w:i w:val="0"/>
          <w:color w:val="16212B"/>
          <w:sz w:val="21"/>
        </w:rPr>
        <w:t>项目群可用于日常排期、稿件反馈和上线确认，但解除、索赔、账户变更及争议通知应同时通过正式通知方式发送。</w:t>
      </w:r>
    </w:p>
    <w:p>
      <w:pPr>
        <w:pStyle w:val="ContractClause"/>
      </w:pPr>
      <w:r>
        <w:rPr>
          <w:rFonts w:ascii="Noto Sans SC" w:hAnsi="Noto Sans SC" w:eastAsia="Noto Sans SC"/>
          <w:b/>
          <w:i w:val="0"/>
          <w:color w:val="16212B"/>
          <w:sz w:val="21"/>
        </w:rPr>
        <w:t xml:space="preserve">25.3 </w:t>
      </w:r>
      <w:r>
        <w:rPr>
          <w:rFonts w:ascii="Noto Sans SC" w:hAnsi="Noto Sans SC" w:eastAsia="Noto Sans SC"/>
          <w:b w:val="0"/>
          <w:i w:val="0"/>
          <w:color w:val="16212B"/>
          <w:sz w:val="21"/>
        </w:rPr>
        <w:t>地址或联系人变化的一方应在三个工作日内通知对方，否则原信息仍为有效送达地址。</w:t>
      </w:r>
    </w:p>
    <w:p>
      <w:pPr>
        <w:pStyle w:val="Heading1"/>
        <w:keepNext/>
        <w:pageBreakBefore w:val="0"/>
      </w:pPr>
      <w:r>
        <w:rPr>
          <w:rFonts w:ascii="Noto Sans SC" w:hAnsi="Noto Sans SC" w:eastAsia="Noto Sans SC"/>
          <w:b/>
          <w:i w:val="0"/>
          <w:color w:val="16212B"/>
          <w:sz w:val="28"/>
        </w:rPr>
        <w:t>第二十六条 法律适用与争议解决</w:t>
      </w:r>
    </w:p>
    <w:p>
      <w:pPr>
        <w:pStyle w:val="ContractClause"/>
      </w:pPr>
      <w:r>
        <w:rPr>
          <w:rFonts w:ascii="Noto Sans SC" w:hAnsi="Noto Sans SC" w:eastAsia="Noto Sans SC"/>
          <w:b/>
          <w:i w:val="0"/>
          <w:color w:val="16212B"/>
          <w:sz w:val="21"/>
        </w:rPr>
        <w:t xml:space="preserve">26.1 </w:t>
      </w:r>
      <w:r>
        <w:rPr>
          <w:rFonts w:ascii="Noto Sans SC" w:hAnsi="Noto Sans SC" w:eastAsia="Noto Sans SC"/>
          <w:b w:val="0"/>
          <w:i w:val="0"/>
          <w:color w:val="16212B"/>
          <w:sz w:val="21"/>
        </w:rPr>
        <w:t>本合同的订立、效力、解释、履行及争议解决适用中华人民共和国大陆地区法律。</w:t>
      </w:r>
    </w:p>
    <w:p>
      <w:pPr>
        <w:pStyle w:val="ContractClause"/>
      </w:pPr>
      <w:r>
        <w:rPr>
          <w:rFonts w:ascii="Noto Sans SC" w:hAnsi="Noto Sans SC" w:eastAsia="Noto Sans SC"/>
          <w:b/>
          <w:i w:val="0"/>
          <w:color w:val="16212B"/>
          <w:sz w:val="21"/>
        </w:rPr>
        <w:t xml:space="preserve">26.2 </w:t>
      </w:r>
      <w:r>
        <w:rPr>
          <w:rFonts w:ascii="Noto Sans SC" w:hAnsi="Noto Sans SC" w:eastAsia="Noto Sans SC"/>
          <w:b w:val="0"/>
          <w:i w:val="0"/>
          <w:color w:val="16212B"/>
          <w:sz w:val="21"/>
        </w:rPr>
        <w:t>因本合同产生的争议，双方应先协商；协商开始后十个工作日内未解决的，任一方可向甲方住所地有管辖权的人民法院提起诉讼。</w:t>
      </w:r>
    </w:p>
    <w:p>
      <w:pPr>
        <w:pStyle w:val="ContractClause"/>
      </w:pPr>
      <w:r>
        <w:rPr>
          <w:rFonts w:ascii="Noto Sans SC" w:hAnsi="Noto Sans SC" w:eastAsia="Noto Sans SC"/>
          <w:b/>
          <w:i w:val="0"/>
          <w:color w:val="16212B"/>
          <w:sz w:val="21"/>
        </w:rPr>
        <w:t xml:space="preserve">26.3 </w:t>
      </w:r>
      <w:r>
        <w:rPr>
          <w:rFonts w:ascii="Noto Sans SC" w:hAnsi="Noto Sans SC" w:eastAsia="Noto Sans SC"/>
          <w:b w:val="0"/>
          <w:i w:val="0"/>
          <w:color w:val="16212B"/>
          <w:sz w:val="21"/>
        </w:rPr>
        <w:t>争议期间，除争议事项外，双方应继续履行不受影响的合同义务。</w:t>
      </w:r>
    </w:p>
    <w:p>
      <w:pPr>
        <w:pStyle w:val="Heading1"/>
        <w:keepNext/>
        <w:pageBreakBefore w:val="0"/>
      </w:pPr>
      <w:r>
        <w:rPr>
          <w:rFonts w:ascii="Noto Sans SC" w:hAnsi="Noto Sans SC" w:eastAsia="Noto Sans SC"/>
          <w:b/>
          <w:i w:val="0"/>
          <w:color w:val="16212B"/>
          <w:sz w:val="28"/>
        </w:rPr>
        <w:t>第二十七条 其他</w:t>
      </w:r>
    </w:p>
    <w:p>
      <w:pPr>
        <w:pStyle w:val="ContractClause"/>
      </w:pPr>
      <w:r>
        <w:rPr>
          <w:rFonts w:ascii="Noto Sans SC" w:hAnsi="Noto Sans SC" w:eastAsia="Noto Sans SC"/>
          <w:b/>
          <w:i w:val="0"/>
          <w:color w:val="16212B"/>
          <w:sz w:val="21"/>
        </w:rPr>
        <w:t xml:space="preserve">27.1 </w:t>
      </w:r>
      <w:r>
        <w:rPr>
          <w:rFonts w:ascii="Noto Sans SC" w:hAnsi="Noto Sans SC" w:eastAsia="Noto Sans SC"/>
          <w:b w:val="0"/>
          <w:i w:val="0"/>
          <w:color w:val="16212B"/>
          <w:sz w:val="21"/>
        </w:rPr>
        <w:t>本合同不构成合伙、联营、劳动、经销或代理关系。未经授权，任何一方不得以对方名义作出承诺。</w:t>
      </w:r>
    </w:p>
    <w:p>
      <w:pPr>
        <w:pStyle w:val="ContractClause"/>
      </w:pPr>
      <w:r>
        <w:rPr>
          <w:rFonts w:ascii="Noto Sans SC" w:hAnsi="Noto Sans SC" w:eastAsia="Noto Sans SC"/>
          <w:b/>
          <w:i w:val="0"/>
          <w:color w:val="16212B"/>
          <w:sz w:val="21"/>
        </w:rPr>
        <w:t xml:space="preserve">27.2 </w:t>
      </w:r>
      <w:r>
        <w:rPr>
          <w:rFonts w:ascii="Noto Sans SC" w:hAnsi="Noto Sans SC" w:eastAsia="Noto Sans SC"/>
          <w:b w:val="0"/>
          <w:i w:val="0"/>
          <w:color w:val="16212B"/>
          <w:sz w:val="21"/>
        </w:rPr>
        <w:t>合同部分条款无效或不可执行，不影响其他条款的效力；双方应以最接近原商业目的且合法有效的条款替代。</w:t>
      </w:r>
    </w:p>
    <w:p>
      <w:pPr>
        <w:pStyle w:val="ContractClause"/>
      </w:pPr>
      <w:r>
        <w:rPr>
          <w:rFonts w:ascii="Noto Sans SC" w:hAnsi="Noto Sans SC" w:eastAsia="Noto Sans SC"/>
          <w:b/>
          <w:i w:val="0"/>
          <w:color w:val="16212B"/>
          <w:sz w:val="21"/>
        </w:rPr>
        <w:t xml:space="preserve">27.3 </w:t>
      </w:r>
      <w:r>
        <w:rPr>
          <w:rFonts w:ascii="Noto Sans SC" w:hAnsi="Noto Sans SC" w:eastAsia="Noto Sans SC"/>
          <w:b w:val="0"/>
          <w:i w:val="0"/>
          <w:color w:val="16212B"/>
          <w:sz w:val="21"/>
        </w:rPr>
        <w:t>一方未立即行使权利不构成放弃；权利放弃必须以书面方式明确作出。</w:t>
      </w:r>
    </w:p>
    <w:p>
      <w:pPr>
        <w:pStyle w:val="ContractClause"/>
      </w:pPr>
      <w:r>
        <w:rPr>
          <w:rFonts w:ascii="Noto Sans SC" w:hAnsi="Noto Sans SC" w:eastAsia="Noto Sans SC"/>
          <w:b/>
          <w:i w:val="0"/>
          <w:color w:val="16212B"/>
          <w:sz w:val="21"/>
        </w:rPr>
        <w:t xml:space="preserve">27.4 </w:t>
      </w:r>
      <w:r>
        <w:rPr>
          <w:rFonts w:ascii="Noto Sans SC" w:hAnsi="Noto Sans SC" w:eastAsia="Noto Sans SC"/>
          <w:b w:val="0"/>
          <w:i w:val="0"/>
          <w:color w:val="16212B"/>
          <w:sz w:val="21"/>
        </w:rPr>
        <w:t>本合同可采用纸质或依法有效的电子签名方式签署。纸质合同一式肆份，双方各执贰份，具有同等法律效力。</w:t>
      </w:r>
    </w:p>
    <w:p>
      <w:pPr>
        <w:pStyle w:val="ContractClause"/>
      </w:pPr>
      <w:r>
        <w:rPr>
          <w:rFonts w:ascii="Noto Sans SC" w:hAnsi="Noto Sans SC" w:eastAsia="Noto Sans SC"/>
          <w:b/>
          <w:i w:val="0"/>
          <w:color w:val="16212B"/>
          <w:sz w:val="21"/>
        </w:rPr>
        <w:t xml:space="preserve">27.5 </w:t>
      </w:r>
      <w:r>
        <w:rPr>
          <w:rFonts w:ascii="Noto Sans SC" w:hAnsi="Noto Sans SC" w:eastAsia="Noto Sans SC"/>
          <w:b w:val="0"/>
          <w:i w:val="0"/>
          <w:color w:val="16212B"/>
          <w:sz w:val="21"/>
        </w:rPr>
        <w:t>附件一《服务范围与项目排期》、附件二《媒体发布清单与规则》、附件三《KOL资源位与内容计划》、附件四《费用明细与结算》、附件五《验收材料清单》、附件六《产品主张、禁用表述与项目联系人》均为本合同组成部分。</w:t>
      </w:r>
    </w:p>
    <w:p>
      <w:pPr>
        <w:pStyle w:val="ContractBody"/>
        <w:ind w:firstLine="418"/>
      </w:pPr>
      <w:r>
        <w:rPr>
          <w:rFonts w:ascii="Noto Sans SC" w:hAnsi="Noto Sans SC" w:eastAsia="Noto Sans SC"/>
          <w:b w:val="0"/>
          <w:i w:val="0"/>
          <w:color w:val="16212B"/>
          <w:sz w:val="21"/>
        </w:rPr>
        <w:t>（以下无正文，为签署页。）</w:t>
      </w:r>
    </w:p>
    <w:p>
      <w:r>
        <w:br w:type="page"/>
      </w:r>
    </w:p>
    <w:p>
      <w:pPr>
        <w:spacing w:after="400"/>
        <w:jc w:val="center"/>
      </w:pPr>
      <w:r>
        <w:rPr>
          <w:rFonts w:ascii="Noto Sans SC" w:hAnsi="Noto Sans SC" w:eastAsia="Noto Sans SC"/>
          <w:b/>
          <w:i w:val="0"/>
          <w:color w:val="16212B"/>
          <w:sz w:val="34"/>
        </w:rPr>
        <w:t>签署页</w:t>
      </w:r>
    </w:p>
    <w:tbl>
      <w:tblPr>
        <w:tblStyle w:val="TableGrid"/>
        <w:tblW w:type="dxa" w:w="9360"/>
        <w:jc w:val="left"/>
        <w:tblLayout w:type="fixed"/>
        <w:tblLook w:firstColumn="1" w:firstRow="1" w:lastColumn="0" w:lastRow="0" w:noHBand="0" w:noVBand="1" w:val="04A0"/>
        <w:tblInd w:type="dxa" w:w="180"/>
      </w:tblPr>
      <w:tblGrid>
        <w:gridCol w:w="4680"/>
        <w:gridCol w:w="4680"/>
      </w:tblGrid>
      <w:tr>
        <w:trPr/>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i w:val="0"/>
                <w:color w:val="16212B"/>
                <w:sz w:val="20"/>
              </w:rPr>
              <w:t>甲方：上海曜境智能科技有限公司</w:t>
            </w:r>
          </w:p>
        </w:tc>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i w:val="0"/>
                <w:color w:val="16212B"/>
                <w:sz w:val="20"/>
              </w:rPr>
              <w:t>乙方：北京叙光品牌传播有限公司</w:t>
            </w:r>
          </w:p>
        </w:tc>
      </w:tr>
      <w:tr>
        <w:trPr/>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t>（盖章）</w:t>
            </w:r>
          </w:p>
        </w:tc>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t>（盖章）</w:t>
            </w:r>
          </w:p>
        </w:tc>
      </w:tr>
      <w:tr>
        <w:trPr/>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r>
          </w:p>
        </w:tc>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r>
          </w:p>
        </w:tc>
      </w:tr>
      <w:tr>
        <w:trPr/>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t>法定代表人或授权代表：</w:t>
            </w:r>
          </w:p>
        </w:tc>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t>法定代表人或授权代表：</w:t>
            </w:r>
          </w:p>
        </w:tc>
      </w:tr>
      <w:tr>
        <w:trPr/>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r>
          </w:p>
        </w:tc>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r>
          </w:p>
        </w:tc>
      </w:tr>
      <w:tr>
        <w:trPr/>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t>签署日期：2026年9月1日</w:t>
            </w:r>
          </w:p>
        </w:tc>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t>签署日期：2026年9月1日</w:t>
            </w:r>
          </w:p>
        </w:tc>
      </w:tr>
      <w:tr>
        <w:trPr/>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r>
          </w:p>
        </w:tc>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r>
          </w:p>
        </w:tc>
      </w:tr>
      <w:tr>
        <w:trPr/>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t>开户地址及账号：以甲方付款信息为准</w:t>
            </w:r>
          </w:p>
        </w:tc>
        <w:tc>
          <w:tcPr>
            <w:tcW w:type="dxa" w:w="4680"/>
            <w:tcMar>
              <w:top w:w="150" w:type="dxa"/>
              <w:bottom w:w="150" w:type="dxa"/>
              <w:start w:w="180" w:type="dxa"/>
              <w:end w:w="180" w:type="dxa"/>
            </w:tcMar>
            <w:vAlign w:val="center"/>
          </w:tcPr>
          <w:p>
            <w:pPr>
              <w:spacing w:after="80" w:line="288" w:lineRule="auto"/>
            </w:pPr>
            <w:r>
              <w:rPr>
                <w:rFonts w:ascii="Noto Sans SC" w:hAnsi="Noto Sans SC" w:eastAsia="Noto Sans SC"/>
                <w:b w:val="0"/>
                <w:i w:val="0"/>
                <w:color w:val="16212B"/>
                <w:sz w:val="20"/>
              </w:rPr>
              <w:t>收款账户：签署时由乙方加盖公章填写</w:t>
            </w:r>
          </w:p>
        </w:tc>
      </w:tr>
    </w:tbl>
    <w:p>
      <w:pPr>
        <w:pageBreakBefore/>
        <w:spacing w:before="0" w:after="100"/>
        <w:jc w:val="center"/>
      </w:pPr>
      <w:r>
        <w:rPr>
          <w:rFonts w:ascii="Noto Sans SC" w:hAnsi="Noto Sans SC" w:eastAsia="Noto Sans SC"/>
          <w:b/>
          <w:i w:val="0"/>
          <w:color w:val="16212B"/>
          <w:sz w:val="34"/>
        </w:rPr>
        <w:t>附件一  服务范围与项目排期</w:t>
      </w:r>
    </w:p>
    <w:p>
      <w:pPr>
        <w:spacing w:after="280"/>
        <w:jc w:val="center"/>
      </w:pPr>
      <w:r>
        <w:rPr>
          <w:rFonts w:ascii="Noto Sans SC" w:hAnsi="Noto Sans SC" w:eastAsia="Noto Sans SC"/>
          <w:b w:val="0"/>
          <w:i w:val="0"/>
          <w:color w:val="626B75"/>
          <w:sz w:val="20"/>
        </w:rPr>
        <w:t>本附件所列时间为双方确认的基准排期</w:t>
      </w:r>
    </w:p>
    <w:tbl>
      <w:tblPr>
        <w:tblStyle w:val="TableGrid"/>
        <w:tblW w:type="dxa" w:w="9360"/>
        <w:jc w:val="left"/>
        <w:tblLayout w:type="fixed"/>
        <w:tblLook w:firstColumn="1" w:firstRow="1" w:lastColumn="0" w:lastRow="0" w:noHBand="0" w:noVBand="1" w:val="04A0"/>
        <w:tblInd w:type="dxa" w:w="120"/>
      </w:tblPr>
      <w:tblGrid>
        <w:gridCol w:w="648"/>
        <w:gridCol w:w="1296"/>
        <w:gridCol w:w="3096"/>
        <w:gridCol w:w="1080"/>
        <w:gridCol w:w="1800"/>
        <w:gridCol w:w="1440"/>
      </w:tblGrid>
      <w:tr>
        <w:trPr>
          <w:tblHeader w:val="true"/>
        </w:trPr>
        <w:tc>
          <w:tcPr>
            <w:tcW w:type="dxa" w:w="648"/>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序号</w:t>
            </w:r>
          </w:p>
        </w:tc>
        <w:tc>
          <w:tcPr>
            <w:tcW w:type="dxa" w:w="1296"/>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阶段</w:t>
            </w:r>
          </w:p>
        </w:tc>
        <w:tc>
          <w:tcPr>
            <w:tcW w:type="dxa" w:w="3096"/>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主要工作</w:t>
            </w:r>
          </w:p>
        </w:tc>
        <w:tc>
          <w:tcPr>
            <w:tcW w:type="dxa" w:w="1080"/>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责任方</w:t>
            </w:r>
          </w:p>
        </w:tc>
        <w:tc>
          <w:tcPr>
            <w:tcW w:type="dxa" w:w="1800"/>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基准日期</w:t>
            </w:r>
          </w:p>
        </w:tc>
        <w:tc>
          <w:tcPr>
            <w:tcW w:type="dxa" w:w="1440"/>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交付/证据</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1</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项目启动</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启动会、资料清单、工作机制</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乙方/双方</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2026-09-01</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会议纪要、资料清单</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2</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策略与信息屋</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传播策略、受众、信息层级、风险清单</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乙方</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2026-09-07</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策略稿V1</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3</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KOL候选</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不少于18个候选、12个正式、4个备选</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乙方/甲方</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2026-09-10至09-16</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账号卡、报价、确认单</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4</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新闻稿初稿</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主新闻稿、事实表、媒体Q&amp;A</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乙方</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2026-09-18</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初稿及素材缺口</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5</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样机寄送</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16台样机、序列号及使用说明</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甲方/乙方</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2026-09-18至09-22</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签收记录</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6</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提纲与脚本</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12份提纲，其中4份视频脚本</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乙方/KOL</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2026-09-23至09-30</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经确认提纲</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7</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新闻稿定稿</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完成两轮修改并锁定参数</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双方</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2026-10-08</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发布稿</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8</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KOL初稿</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图文初稿、视频成片</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乙方/KOL</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2026-10-08至10-13</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12篇初稿</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9</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媒体首发</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8家核心媒体优先上线</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乙方</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2026-10-15 09:00-18:00</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链接、截图</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10</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媒体扩散</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12家扩散媒体完成</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乙方</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2026-10-15至10-17</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链接、截图</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11</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KOL发布</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首波8篇、次波4篇</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乙方/KOL</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2026-10-15至10-24</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链接、截图</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12</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数据回收</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7日及30日数据</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乙方</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各内容上线后第7/30日</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后台或前台截图</w:t>
            </w:r>
          </w:p>
        </w:tc>
      </w:tr>
      <w:tr>
        <w:trPr/>
        <w:tc>
          <w:tcPr>
            <w:tcW w:type="dxa" w:w="64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13</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结案</w:t>
            </w:r>
          </w:p>
        </w:tc>
        <w:tc>
          <w:tcPr>
            <w:tcW w:type="dxa" w:w="30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链接、数据、复盘、费用执行</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乙方</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2026-11-30前</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结案报告</w:t>
            </w:r>
          </w:p>
        </w:tc>
      </w:tr>
    </w:tbl>
    <w:p>
      <w:pPr>
        <w:spacing w:after="40"/>
      </w:pPr>
    </w:p>
    <w:p>
      <w:pPr>
        <w:pStyle w:val="ContractClause"/>
      </w:pPr>
      <w:r>
        <w:rPr>
          <w:rFonts w:ascii="Noto Sans SC" w:hAnsi="Noto Sans SC" w:eastAsia="Noto Sans SC"/>
          <w:b/>
          <w:i w:val="0"/>
          <w:color w:val="16212B"/>
          <w:sz w:val="21"/>
        </w:rPr>
        <w:t xml:space="preserve">A1.1 </w:t>
      </w:r>
      <w:r>
        <w:rPr>
          <w:rFonts w:ascii="Noto Sans SC" w:hAnsi="Noto Sans SC" w:eastAsia="Noto Sans SC"/>
          <w:b w:val="0"/>
          <w:i w:val="0"/>
          <w:color w:val="16212B"/>
          <w:sz w:val="21"/>
        </w:rPr>
        <w:t>软性传播目标：项目期内媒体与KOL内容合计曝光目标1,200,000次；KOL内容平均互动率目标4%。该等指标按第十一条管理。</w:t>
      </w:r>
    </w:p>
    <w:p>
      <w:pPr>
        <w:pageBreakBefore/>
        <w:spacing w:before="0" w:after="100"/>
        <w:jc w:val="center"/>
      </w:pPr>
      <w:r>
        <w:rPr>
          <w:rFonts w:ascii="Noto Sans SC" w:hAnsi="Noto Sans SC" w:eastAsia="Noto Sans SC"/>
          <w:b/>
          <w:i w:val="0"/>
          <w:color w:val="16212B"/>
          <w:sz w:val="34"/>
        </w:rPr>
        <w:t>附件二  媒体发布清单与规则</w:t>
      </w:r>
    </w:p>
    <w:p>
      <w:pPr>
        <w:spacing w:after="280"/>
        <w:jc w:val="center"/>
      </w:pPr>
      <w:r>
        <w:rPr>
          <w:rFonts w:ascii="Noto Sans SC" w:hAnsi="Noto Sans SC" w:eastAsia="Noto Sans SC"/>
          <w:b w:val="0"/>
          <w:i w:val="0"/>
          <w:color w:val="626B75"/>
          <w:sz w:val="20"/>
        </w:rPr>
        <w:t>媒体名称为目标发布池，替换必须遵守第五条</w:t>
      </w:r>
    </w:p>
    <w:tbl>
      <w:tblPr>
        <w:tblStyle w:val="TableGrid"/>
        <w:tblW w:type="dxa" w:w="9360"/>
        <w:jc w:val="left"/>
        <w:tblLayout w:type="fixed"/>
        <w:tblLook w:firstColumn="1" w:firstRow="1" w:lastColumn="0" w:lastRow="0" w:noHBand="0" w:noVBand="1" w:val="04A0"/>
        <w:tblInd w:type="dxa" w:w="120"/>
      </w:tblPr>
      <w:tblGrid>
        <w:gridCol w:w="1008"/>
        <w:gridCol w:w="1728"/>
        <w:gridCol w:w="1944"/>
        <w:gridCol w:w="2880"/>
        <w:gridCol w:w="1800"/>
      </w:tblGrid>
      <w:tr>
        <w:trPr>
          <w:tblHeader w:val="true"/>
        </w:trPr>
        <w:tc>
          <w:tcPr>
            <w:tcW w:type="dxa" w:w="1008"/>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编号</w:t>
            </w:r>
          </w:p>
        </w:tc>
        <w:tc>
          <w:tcPr>
            <w:tcW w:type="dxa" w:w="1728"/>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媒体</w:t>
            </w:r>
          </w:p>
        </w:tc>
        <w:tc>
          <w:tcPr>
            <w:tcW w:type="dxa" w:w="1944"/>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频道/垂类</w:t>
            </w:r>
          </w:p>
        </w:tc>
        <w:tc>
          <w:tcPr>
            <w:tcW w:type="dxa" w:w="2880"/>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发布方式</w:t>
            </w:r>
          </w:p>
        </w:tc>
        <w:tc>
          <w:tcPr>
            <w:tcW w:type="dxa" w:w="1800"/>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上线窗口</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核心01</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新浪科技</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科技/消费电子</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商业发布或编辑审核</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核心02</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网易科技</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科技/消费电子</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商业发布或编辑审核</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核心03</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凤凰网科技</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科技/消费电子</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商业发布或编辑审核</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核心04</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搜狐科技</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科技/消费电子</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核心05</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IT之家</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数码/新品</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以媒体审核为准</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上市日±1日</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核心06</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中关村在线</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数码/智能穿戴</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商业发布或编辑审核</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核心07</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太平洋科技</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数码/智能穿戴</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商业发布或编辑审核</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上市日±1日</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核心08</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砍柴网</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科技/商业</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扩散01</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TechWeb</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科技资讯</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上市日+2日内</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扩散02</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DoNews</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互联网/科技</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上市日+2日内</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扩散03</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驱动中国</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数码硬件</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上市日+2日内</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扩散04</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泡泡网</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数码硬件</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上市日+2日内</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扩散05</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天极网</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数码/科技</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上市日+2日内</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扩散06</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赛迪网</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产业/科技</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上市日+2日内</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扩散07</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雷科技</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智能硬件</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以媒体审核为准</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上市日+2日内</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扩散08</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钛媒体社区</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商业科技</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以平台审核为准</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上市日+2日内</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扩散09</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中国网科技</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科技资讯</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商业发布或编辑审核</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上市日+2日内</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扩散10</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环球网科技</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科技资讯</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以媒体审核为准</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上市日+2日内</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扩散11</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消费日报网</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消费/产品</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上市日+2日内</w:t>
            </w:r>
          </w:p>
        </w:tc>
      </w:tr>
      <w:tr>
        <w:trPr/>
        <w:tc>
          <w:tcPr>
            <w:tcW w:type="dxa" w:w="100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扩散12</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北青网科技</w:t>
            </w:r>
          </w:p>
        </w:tc>
        <w:tc>
          <w:tcPr>
            <w:tcW w:type="dxa" w:w="194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科技/消费</w:t>
            </w:r>
          </w:p>
        </w:tc>
        <w:tc>
          <w:tcPr>
            <w:tcW w:type="dxa" w:w="28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商业发布</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上市日+2日内</w:t>
            </w:r>
          </w:p>
        </w:tc>
      </w:tr>
    </w:tbl>
    <w:p>
      <w:pPr>
        <w:spacing w:after="40"/>
      </w:pPr>
    </w:p>
    <w:p>
      <w:pPr>
        <w:pStyle w:val="ContractClause"/>
      </w:pPr>
      <w:r>
        <w:rPr>
          <w:rFonts w:ascii="Noto Sans SC" w:hAnsi="Noto Sans SC" w:eastAsia="Noto Sans SC"/>
          <w:b/>
          <w:i w:val="0"/>
          <w:color w:val="16212B"/>
          <w:sz w:val="21"/>
        </w:rPr>
        <w:t xml:space="preserve">A2.1 </w:t>
      </w:r>
      <w:r>
        <w:rPr>
          <w:rFonts w:ascii="Noto Sans SC" w:hAnsi="Noto Sans SC" w:eastAsia="Noto Sans SC"/>
          <w:b w:val="0"/>
          <w:i w:val="0"/>
          <w:color w:val="16212B"/>
          <w:sz w:val="21"/>
        </w:rPr>
        <w:t>发布页面应保留原始媒体域名、正文和日期；聚合转载、搜索快照及同域镜像不重复计数。</w:t>
      </w:r>
    </w:p>
    <w:p>
      <w:pPr>
        <w:pStyle w:val="ContractClause"/>
      </w:pPr>
      <w:r>
        <w:rPr>
          <w:rFonts w:ascii="Noto Sans SC" w:hAnsi="Noto Sans SC" w:eastAsia="Noto Sans SC"/>
          <w:b/>
          <w:i w:val="0"/>
          <w:color w:val="16212B"/>
          <w:sz w:val="21"/>
        </w:rPr>
        <w:t xml:space="preserve">A2.2 </w:t>
      </w:r>
      <w:r>
        <w:rPr>
          <w:rFonts w:ascii="Noto Sans SC" w:hAnsi="Noto Sans SC" w:eastAsia="Noto Sans SC"/>
          <w:b w:val="0"/>
          <w:i w:val="0"/>
          <w:color w:val="16212B"/>
          <w:sz w:val="21"/>
        </w:rPr>
        <w:t>若选定媒体拒稿或排期不可用，乙方应优先从相同受众、相近行业影响力和相近报价的媒体中提出替代方案，不得仅以数量相同主张完成。</w:t>
      </w:r>
    </w:p>
    <w:p>
      <w:pPr>
        <w:pStyle w:val="ContractClause"/>
      </w:pPr>
      <w:r>
        <w:rPr>
          <w:rFonts w:ascii="Noto Sans SC" w:hAnsi="Noto Sans SC" w:eastAsia="Noto Sans SC"/>
          <w:b/>
          <w:i w:val="0"/>
          <w:color w:val="16212B"/>
          <w:sz w:val="21"/>
        </w:rPr>
        <w:t xml:space="preserve">A2.3 </w:t>
      </w:r>
      <w:r>
        <w:rPr>
          <w:rFonts w:ascii="Noto Sans SC" w:hAnsi="Noto Sans SC" w:eastAsia="Noto Sans SC"/>
          <w:b w:val="0"/>
          <w:i w:val="0"/>
          <w:color w:val="16212B"/>
          <w:sz w:val="21"/>
        </w:rPr>
        <w:t>媒体自行采编或采访形成的内容不纳入本合同固定数量，乙方不得向媒体承诺正面报道或干预正常编辑判断。</w:t>
      </w:r>
    </w:p>
    <w:p>
      <w:pPr>
        <w:pageBreakBefore/>
        <w:spacing w:before="0" w:after="100"/>
        <w:jc w:val="center"/>
      </w:pPr>
      <w:r>
        <w:rPr>
          <w:rFonts w:ascii="Noto Sans SC" w:hAnsi="Noto Sans SC" w:eastAsia="Noto Sans SC"/>
          <w:b/>
          <w:i w:val="0"/>
          <w:color w:val="16212B"/>
          <w:sz w:val="34"/>
        </w:rPr>
        <w:t>附件三  KOL资源位与内容计划</w:t>
      </w:r>
    </w:p>
    <w:p>
      <w:pPr>
        <w:spacing w:after="280"/>
        <w:jc w:val="center"/>
      </w:pPr>
      <w:r>
        <w:rPr>
          <w:rFonts w:ascii="Noto Sans SC" w:hAnsi="Noto Sans SC" w:eastAsia="Noto Sans SC"/>
          <w:b w:val="0"/>
          <w:i w:val="0"/>
          <w:color w:val="626B75"/>
          <w:sz w:val="20"/>
        </w:rPr>
        <w:t>账号名称、平台号和最终报价以双方签署的资源确认单锁定</w:t>
      </w:r>
    </w:p>
    <w:tbl>
      <w:tblPr>
        <w:tblStyle w:val="TableGrid"/>
        <w:tblW w:type="dxa" w:w="9360"/>
        <w:jc w:val="left"/>
        <w:tblLayout w:type="fixed"/>
        <w:tblLook w:firstColumn="1" w:firstRow="1" w:lastColumn="0" w:lastRow="0" w:noHBand="0" w:noVBand="1" w:val="04A0"/>
        <w:tblInd w:type="dxa" w:w="120"/>
      </w:tblPr>
      <w:tblGrid>
        <w:gridCol w:w="792"/>
        <w:gridCol w:w="1224"/>
        <w:gridCol w:w="1152"/>
        <w:gridCol w:w="792"/>
        <w:gridCol w:w="3024"/>
        <w:gridCol w:w="1224"/>
        <w:gridCol w:w="1152"/>
      </w:tblGrid>
      <w:tr>
        <w:trPr>
          <w:tblHeader w:val="true"/>
        </w:trPr>
        <w:tc>
          <w:tcPr>
            <w:tcW w:type="dxa" w:w="792"/>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6"/>
              </w:rPr>
              <w:t>资源位</w:t>
            </w:r>
          </w:p>
        </w:tc>
        <w:tc>
          <w:tcPr>
            <w:tcW w:type="dxa" w:w="1224"/>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6"/>
              </w:rPr>
              <w:t>垂类</w:t>
            </w:r>
          </w:p>
        </w:tc>
        <w:tc>
          <w:tcPr>
            <w:tcW w:type="dxa" w:w="1152"/>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6"/>
              </w:rPr>
              <w:t>粉丝区间</w:t>
            </w:r>
          </w:p>
        </w:tc>
        <w:tc>
          <w:tcPr>
            <w:tcW w:type="dxa" w:w="792"/>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6"/>
              </w:rPr>
              <w:t>形式</w:t>
            </w:r>
          </w:p>
        </w:tc>
        <w:tc>
          <w:tcPr>
            <w:tcW w:type="dxa" w:w="3024"/>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6"/>
              </w:rPr>
              <w:t>主要内容方向</w:t>
            </w:r>
          </w:p>
        </w:tc>
        <w:tc>
          <w:tcPr>
            <w:tcW w:type="dxa" w:w="1224"/>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6"/>
              </w:rPr>
              <w:t>窗口</w:t>
            </w:r>
          </w:p>
        </w:tc>
        <w:tc>
          <w:tcPr>
            <w:tcW w:type="dxa" w:w="1152"/>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6"/>
              </w:rPr>
              <w:t>含税上限</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6"/>
              </w:rPr>
              <w:t>K01</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数码深度</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50-80万</w:t>
            </w:r>
          </w:p>
        </w:tc>
        <w:tc>
          <w:tcPr>
            <w:tcW w:type="dxa" w:w="79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视频</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全天佩戴与交互体验</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上市日</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≤72,000</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6"/>
              </w:rPr>
              <w:t>K02</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数码评测</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30-50万</w:t>
            </w:r>
          </w:p>
        </w:tc>
        <w:tc>
          <w:tcPr>
            <w:tcW w:type="dxa" w:w="79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视频</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续航、屏幕、系统对比</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上市日+1</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≤58,000</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6"/>
              </w:rPr>
              <w:t>K03</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智能硬件</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20-40万</w:t>
            </w:r>
          </w:p>
        </w:tc>
        <w:tc>
          <w:tcPr>
            <w:tcW w:type="dxa" w:w="79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图文</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通勤与通知管理</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上市日</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≤38,000</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6"/>
              </w:rPr>
              <w:t>K04</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科技生活</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15-30万</w:t>
            </w:r>
          </w:p>
        </w:tc>
        <w:tc>
          <w:tcPr>
            <w:tcW w:type="dxa" w:w="79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图文</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外观、表带与生态</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上市日+2</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≤31,000</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6"/>
              </w:rPr>
              <w:t>K05</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跑步运动</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20-40万</w:t>
            </w:r>
          </w:p>
        </w:tc>
        <w:tc>
          <w:tcPr>
            <w:tcW w:type="dxa" w:w="79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视频</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两次跑步与GPS轨迹</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上市日+3</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≤48,000</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6"/>
              </w:rPr>
              <w:t>K06</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健身运动</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10-25万</w:t>
            </w:r>
          </w:p>
        </w:tc>
        <w:tc>
          <w:tcPr>
            <w:tcW w:type="dxa" w:w="79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图文</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训练记录与恢复提示</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上市日+5</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≤27,000</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6"/>
              </w:rPr>
              <w:t>K07</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职场效率</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10-25万</w:t>
            </w:r>
          </w:p>
        </w:tc>
        <w:tc>
          <w:tcPr>
            <w:tcW w:type="dxa" w:w="79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图文</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会议、提醒、久坐场景</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上市日+1</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≤25,000</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6"/>
              </w:rPr>
              <w:t>K08</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都市生活</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15-30万</w:t>
            </w:r>
          </w:p>
        </w:tc>
        <w:tc>
          <w:tcPr>
            <w:tcW w:type="dxa" w:w="79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视频</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一天佩戴Vlog</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上市日+4</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≤39,000</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6"/>
              </w:rPr>
              <w:t>K09</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女性穿搭</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10-25万</w:t>
            </w:r>
          </w:p>
        </w:tc>
        <w:tc>
          <w:tcPr>
            <w:tcW w:type="dxa" w:w="79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图文</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穿搭、表盘与轻运动</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上市日+6</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≤24,000</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6"/>
              </w:rPr>
              <w:t>K10</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睡眠健康</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8-20万</w:t>
            </w:r>
          </w:p>
        </w:tc>
        <w:tc>
          <w:tcPr>
            <w:tcW w:type="dxa" w:w="79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图文</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三晚睡眠记录</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上市日+7</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≤22,000</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6"/>
              </w:rPr>
              <w:t>K11</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户外旅行</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8-20万</w:t>
            </w:r>
          </w:p>
        </w:tc>
        <w:tc>
          <w:tcPr>
            <w:tcW w:type="dxa" w:w="79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图文</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徒步、导航与防水提示</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上市日+8</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≤21,000</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6"/>
              </w:rPr>
              <w:t>K12</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品质生活</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5-15万</w:t>
            </w:r>
          </w:p>
        </w:tc>
        <w:tc>
          <w:tcPr>
            <w:tcW w:type="dxa" w:w="79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图文</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礼赠与日常习惯</w:t>
            </w:r>
          </w:p>
        </w:tc>
        <w:tc>
          <w:tcPr>
            <w:tcW w:type="dxa" w:w="12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上市日+9</w:t>
            </w:r>
          </w:p>
        </w:tc>
        <w:tc>
          <w:tcPr>
            <w:tcW w:type="dxa" w:w="11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6"/>
              </w:rPr>
              <w:t>≤15,000</w:t>
            </w:r>
          </w:p>
        </w:tc>
      </w:tr>
    </w:tbl>
    <w:p>
      <w:pPr>
        <w:spacing w:after="40"/>
      </w:pPr>
    </w:p>
    <w:p>
      <w:pPr>
        <w:pStyle w:val="ContractClause"/>
      </w:pPr>
      <w:r>
        <w:rPr>
          <w:rFonts w:ascii="Noto Sans SC" w:hAnsi="Noto Sans SC" w:eastAsia="Noto Sans SC"/>
          <w:b/>
          <w:i w:val="0"/>
          <w:color w:val="16212B"/>
          <w:sz w:val="21"/>
        </w:rPr>
        <w:t xml:space="preserve">A3.1 </w:t>
      </w:r>
      <w:r>
        <w:rPr>
          <w:rFonts w:ascii="Noto Sans SC" w:hAnsi="Noto Sans SC" w:eastAsia="Noto Sans SC"/>
          <w:b w:val="0"/>
          <w:i w:val="0"/>
          <w:color w:val="16212B"/>
          <w:sz w:val="21"/>
        </w:rPr>
        <w:t>正式账号应以资源确认单记录账号名称、平台号、主页链接、经纪主体、报价、竞品排他和样机属性。未完成确认单的账号不得下单。</w:t>
      </w:r>
    </w:p>
    <w:p>
      <w:pPr>
        <w:pStyle w:val="ContractClause"/>
      </w:pPr>
      <w:r>
        <w:rPr>
          <w:rFonts w:ascii="Noto Sans SC" w:hAnsi="Noto Sans SC" w:eastAsia="Noto Sans SC"/>
          <w:b/>
          <w:i w:val="0"/>
          <w:color w:val="16212B"/>
          <w:sz w:val="21"/>
        </w:rPr>
        <w:t xml:space="preserve">A3.2 </w:t>
      </w:r>
      <w:r>
        <w:rPr>
          <w:rFonts w:ascii="Noto Sans SC" w:hAnsi="Noto Sans SC" w:eastAsia="Noto Sans SC"/>
          <w:b w:val="0"/>
          <w:i w:val="0"/>
          <w:color w:val="16212B"/>
          <w:sz w:val="21"/>
        </w:rPr>
        <w:t>每篇内容至少自然呈现三个经甲方确认的产品信息点，并披露商业合作关系；不得机械堆砌全部卖点。</w:t>
      </w:r>
    </w:p>
    <w:p>
      <w:pPr>
        <w:pStyle w:val="ContractClause"/>
      </w:pPr>
      <w:r>
        <w:rPr>
          <w:rFonts w:ascii="Noto Sans SC" w:hAnsi="Noto Sans SC" w:eastAsia="Noto Sans SC"/>
          <w:b/>
          <w:i w:val="0"/>
          <w:color w:val="16212B"/>
          <w:sz w:val="21"/>
        </w:rPr>
        <w:t xml:space="preserve">A3.3 </w:t>
      </w:r>
      <w:r>
        <w:rPr>
          <w:rFonts w:ascii="Noto Sans SC" w:hAnsi="Noto Sans SC" w:eastAsia="Noto Sans SC"/>
          <w:b w:val="0"/>
          <w:i w:val="0"/>
          <w:color w:val="16212B"/>
          <w:sz w:val="21"/>
        </w:rPr>
        <w:t>视频成片原则上不少于60秒，产品实际操作画面累计不少于20秒；图文笔记不少于6张原创图片，正文原则上不少于300字。具体以账号惯常内容形态和提纲确认为准。</w:t>
      </w:r>
    </w:p>
    <w:p>
      <w:pPr>
        <w:pStyle w:val="ContractClause"/>
      </w:pPr>
      <w:r>
        <w:rPr>
          <w:rFonts w:ascii="Noto Sans SC" w:hAnsi="Noto Sans SC" w:eastAsia="Noto Sans SC"/>
          <w:b/>
          <w:i w:val="0"/>
          <w:color w:val="16212B"/>
          <w:sz w:val="21"/>
        </w:rPr>
        <w:t xml:space="preserve">A3.4 </w:t>
      </w:r>
      <w:r>
        <w:rPr>
          <w:rFonts w:ascii="Noto Sans SC" w:hAnsi="Noto Sans SC" w:eastAsia="Noto Sans SC"/>
          <w:b w:val="0"/>
          <w:i w:val="0"/>
          <w:color w:val="16212B"/>
          <w:sz w:val="21"/>
        </w:rPr>
        <w:t>12个正式资源位的KOL合作费及平台技术服务费预算合计420,000元。单个资源位节余可在KOL预算内调剂；超过单项上限或总预算须经甲方书面批准。</w:t>
      </w:r>
    </w:p>
    <w:p>
      <w:pPr>
        <w:pageBreakBefore/>
        <w:spacing w:before="0" w:after="100"/>
        <w:jc w:val="center"/>
      </w:pPr>
      <w:r>
        <w:rPr>
          <w:rFonts w:ascii="Noto Sans SC" w:hAnsi="Noto Sans SC" w:eastAsia="Noto Sans SC"/>
          <w:b/>
          <w:i w:val="0"/>
          <w:color w:val="16212B"/>
          <w:sz w:val="34"/>
        </w:rPr>
        <w:t>附件四  费用明细与结算</w:t>
      </w:r>
    </w:p>
    <w:p>
      <w:pPr>
        <w:spacing w:after="280"/>
        <w:jc w:val="center"/>
      </w:pPr>
      <w:r>
        <w:rPr>
          <w:rFonts w:ascii="Noto Sans SC" w:hAnsi="Noto Sans SC" w:eastAsia="Noto Sans SC"/>
          <w:b w:val="0"/>
          <w:i w:val="0"/>
          <w:color w:val="626B75"/>
          <w:sz w:val="20"/>
        </w:rPr>
        <w:t>币种：人民币；金额均为含税价</w:t>
      </w:r>
    </w:p>
    <w:tbl>
      <w:tblPr>
        <w:tblStyle w:val="TableGrid"/>
        <w:tblW w:type="dxa" w:w="9360"/>
        <w:jc w:val="left"/>
        <w:tblLayout w:type="fixed"/>
        <w:tblLook w:firstColumn="1" w:firstRow="1" w:lastColumn="0" w:lastRow="0" w:noHBand="0" w:noVBand="1" w:val="04A0"/>
        <w:tblInd w:type="dxa" w:w="120"/>
      </w:tblPr>
      <w:tblGrid>
        <w:gridCol w:w="792"/>
        <w:gridCol w:w="1800"/>
        <w:gridCol w:w="3960"/>
        <w:gridCol w:w="1296"/>
        <w:gridCol w:w="1512"/>
      </w:tblGrid>
      <w:tr>
        <w:trPr>
          <w:tblHeader w:val="true"/>
        </w:trPr>
        <w:tc>
          <w:tcPr>
            <w:tcW w:type="dxa" w:w="792"/>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序号</w:t>
            </w:r>
          </w:p>
        </w:tc>
        <w:tc>
          <w:tcPr>
            <w:tcW w:type="dxa" w:w="1800"/>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费用项目</w:t>
            </w:r>
          </w:p>
        </w:tc>
        <w:tc>
          <w:tcPr>
            <w:tcW w:type="dxa" w:w="3960"/>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包含内容</w:t>
            </w:r>
          </w:p>
        </w:tc>
        <w:tc>
          <w:tcPr>
            <w:tcW w:type="dxa" w:w="1296"/>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金额（元）</w:t>
            </w:r>
          </w:p>
        </w:tc>
        <w:tc>
          <w:tcPr>
            <w:tcW w:type="dxa" w:w="1512"/>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计价说明</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1</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传播策略与项目管理</w:t>
            </w:r>
          </w:p>
        </w:tc>
        <w:tc>
          <w:tcPr>
            <w:tcW w:type="dxa" w:w="396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策略、信息屋、排期、周报、舆情协调</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80,000</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固定价</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2</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新闻稿及媒体素材</w:t>
            </w:r>
          </w:p>
        </w:tc>
        <w:tc>
          <w:tcPr>
            <w:tcW w:type="dxa" w:w="396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主新闻稿、Q&amp;A、事实表、素材包、两轮修改</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50,000</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固定价</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3</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媒体发布</w:t>
            </w:r>
          </w:p>
        </w:tc>
        <w:tc>
          <w:tcPr>
            <w:tcW w:type="dxa" w:w="396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20个有效发布位及证据留存</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160,000</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按附件二</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4</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KOL合作</w:t>
            </w:r>
          </w:p>
        </w:tc>
        <w:tc>
          <w:tcPr>
            <w:tcW w:type="dxa" w:w="396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12篇内容、平台费、经纪及内容制作</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420,000</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按附件三预算</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5</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样机物流与管理</w:t>
            </w:r>
          </w:p>
        </w:tc>
        <w:tc>
          <w:tcPr>
            <w:tcW w:type="dxa" w:w="396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16台寄送、回收、序列号台账</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30,000</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固定价</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6</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监测与结案</w:t>
            </w:r>
          </w:p>
        </w:tc>
        <w:tc>
          <w:tcPr>
            <w:tcW w:type="dxa" w:w="396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7/30日数据、结案报告、素材归档</w:t>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40,000</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固定价</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合计</w:t>
            </w:r>
          </w:p>
        </w:tc>
        <w:tc>
          <w:tcPr>
            <w:tcW w:type="dxa" w:w="180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r>
          </w:p>
        </w:tc>
        <w:tc>
          <w:tcPr>
            <w:tcW w:type="dxa" w:w="396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r>
          </w:p>
        </w:tc>
        <w:tc>
          <w:tcPr>
            <w:tcW w:type="dxa" w:w="1296"/>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780,000</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含6%增值税</w:t>
            </w:r>
          </w:p>
        </w:tc>
      </w:tr>
    </w:tbl>
    <w:p>
      <w:pPr>
        <w:spacing w:after="40"/>
      </w:pPr>
    </w:p>
    <w:tbl>
      <w:tblPr>
        <w:tblStyle w:val="TableGrid"/>
        <w:tblW w:type="dxa" w:w="9360"/>
        <w:jc w:val="left"/>
        <w:tblLayout w:type="fixed"/>
        <w:tblLook w:firstColumn="1" w:firstRow="1" w:lastColumn="0" w:lastRow="0" w:noHBand="0" w:noVBand="1" w:val="04A0"/>
        <w:tblInd w:type="dxa" w:w="120"/>
      </w:tblPr>
      <w:tblGrid>
        <w:gridCol w:w="1440"/>
        <w:gridCol w:w="1008"/>
        <w:gridCol w:w="1728"/>
        <w:gridCol w:w="5184"/>
      </w:tblGrid>
      <w:tr>
        <w:trPr>
          <w:tblHeader w:val="true"/>
        </w:trPr>
        <w:tc>
          <w:tcPr>
            <w:tcW w:type="dxa" w:w="1440"/>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8"/>
              </w:rPr>
              <w:t>付款节点</w:t>
            </w:r>
          </w:p>
        </w:tc>
        <w:tc>
          <w:tcPr>
            <w:tcW w:type="dxa" w:w="1008"/>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8"/>
              </w:rPr>
              <w:t>比例</w:t>
            </w:r>
          </w:p>
        </w:tc>
        <w:tc>
          <w:tcPr>
            <w:tcW w:type="dxa" w:w="1728"/>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8"/>
              </w:rPr>
              <w:t>金额（元）</w:t>
            </w:r>
          </w:p>
        </w:tc>
        <w:tc>
          <w:tcPr>
            <w:tcW w:type="dxa" w:w="5184"/>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8"/>
              </w:rPr>
              <w:t>付款条件</w:t>
            </w:r>
          </w:p>
        </w:tc>
      </w:tr>
      <w:tr>
        <w:trPr/>
        <w:tc>
          <w:tcPr>
            <w:tcW w:type="dxa" w:w="1440"/>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8"/>
              </w:rPr>
              <w:t>第一期</w:t>
            </w:r>
          </w:p>
        </w:tc>
        <w:tc>
          <w:tcPr>
            <w:tcW w:type="dxa" w:w="100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40%</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312,000</w:t>
            </w:r>
          </w:p>
        </w:tc>
        <w:tc>
          <w:tcPr>
            <w:tcW w:type="dxa" w:w="518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合同生效且收到发票后10个工作日</w:t>
            </w:r>
          </w:p>
        </w:tc>
      </w:tr>
      <w:tr>
        <w:trPr/>
        <w:tc>
          <w:tcPr>
            <w:tcW w:type="dxa" w:w="1440"/>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8"/>
              </w:rPr>
              <w:t>第二期</w:t>
            </w:r>
          </w:p>
        </w:tc>
        <w:tc>
          <w:tcPr>
            <w:tcW w:type="dxa" w:w="100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40%</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312,000</w:t>
            </w:r>
          </w:p>
        </w:tc>
        <w:tc>
          <w:tcPr>
            <w:tcW w:type="dxa" w:w="518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账号、提纲及新闻稿发布稿确认且收到发票后10个工作日</w:t>
            </w:r>
          </w:p>
        </w:tc>
      </w:tr>
      <w:tr>
        <w:trPr/>
        <w:tc>
          <w:tcPr>
            <w:tcW w:type="dxa" w:w="1440"/>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8"/>
              </w:rPr>
              <w:t>尾款</w:t>
            </w:r>
          </w:p>
        </w:tc>
        <w:tc>
          <w:tcPr>
            <w:tcW w:type="dxa" w:w="100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20%</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156,000</w:t>
            </w:r>
          </w:p>
        </w:tc>
        <w:tc>
          <w:tcPr>
            <w:tcW w:type="dxa" w:w="518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验收通过且收到发票后15个工作日</w:t>
            </w:r>
          </w:p>
        </w:tc>
      </w:tr>
    </w:tbl>
    <w:p>
      <w:pPr>
        <w:spacing w:after="40"/>
      </w:pPr>
    </w:p>
    <w:p>
      <w:pPr>
        <w:pStyle w:val="ContractClause"/>
      </w:pPr>
      <w:r>
        <w:rPr>
          <w:rFonts w:ascii="Noto Sans SC" w:hAnsi="Noto Sans SC" w:eastAsia="Noto Sans SC"/>
          <w:b/>
          <w:i w:val="0"/>
          <w:color w:val="16212B"/>
          <w:sz w:val="21"/>
        </w:rPr>
        <w:t xml:space="preserve">A4.1 </w:t>
      </w:r>
      <w:r>
        <w:rPr>
          <w:rFonts w:ascii="Noto Sans SC" w:hAnsi="Noto Sans SC" w:eastAsia="Noto Sans SC"/>
          <w:b w:val="0"/>
          <w:i w:val="0"/>
          <w:color w:val="16212B"/>
          <w:sz w:val="21"/>
        </w:rPr>
        <w:t>若依据第十条扣减某一资源位价款，媒体发布按附件二同等级资源实际采购价与合理服务费拆分；KOL按资源确认单含税价扣减。</w:t>
      </w:r>
    </w:p>
    <w:p>
      <w:pPr>
        <w:pStyle w:val="ContractClause"/>
      </w:pPr>
      <w:r>
        <w:rPr>
          <w:rFonts w:ascii="Noto Sans SC" w:hAnsi="Noto Sans SC" w:eastAsia="Noto Sans SC"/>
          <w:b/>
          <w:i w:val="0"/>
          <w:color w:val="16212B"/>
          <w:sz w:val="21"/>
        </w:rPr>
        <w:t xml:space="preserve">A4.2 </w:t>
      </w:r>
      <w:r>
        <w:rPr>
          <w:rFonts w:ascii="Noto Sans SC" w:hAnsi="Noto Sans SC" w:eastAsia="Noto Sans SC"/>
          <w:b w:val="0"/>
          <w:i w:val="0"/>
          <w:color w:val="16212B"/>
          <w:sz w:val="21"/>
        </w:rPr>
        <w:t>乙方应在结案材料中提供第三方费用执行汇总，但无需披露其与供应商之间与本项目无关的返利、年度框架折扣或其他客户信息。</w:t>
      </w:r>
    </w:p>
    <w:p>
      <w:pPr>
        <w:pageBreakBefore/>
        <w:spacing w:before="0" w:after="100"/>
        <w:jc w:val="center"/>
      </w:pPr>
      <w:r>
        <w:rPr>
          <w:rFonts w:ascii="Noto Sans SC" w:hAnsi="Noto Sans SC" w:eastAsia="Noto Sans SC"/>
          <w:b/>
          <w:i w:val="0"/>
          <w:color w:val="16212B"/>
          <w:sz w:val="34"/>
        </w:rPr>
        <w:t>附件五  验收材料清单</w:t>
      </w:r>
    </w:p>
    <w:p>
      <w:pPr>
        <w:spacing w:after="280"/>
        <w:jc w:val="center"/>
      </w:pPr>
      <w:r>
        <w:rPr>
          <w:rFonts w:ascii="Noto Sans SC" w:hAnsi="Noto Sans SC" w:eastAsia="Noto Sans SC"/>
          <w:b w:val="0"/>
          <w:i w:val="0"/>
          <w:color w:val="626B75"/>
          <w:sz w:val="20"/>
        </w:rPr>
        <w:t>乙方应按统一文件夹结构提交可核验材料</w:t>
      </w:r>
    </w:p>
    <w:tbl>
      <w:tblPr>
        <w:tblStyle w:val="TableGrid"/>
        <w:tblW w:type="dxa" w:w="9360"/>
        <w:jc w:val="left"/>
        <w:tblLayout w:type="fixed"/>
        <w:tblLook w:firstColumn="1" w:firstRow="1" w:lastColumn="0" w:lastRow="0" w:noHBand="0" w:noVBand="1" w:val="04A0"/>
        <w:tblInd w:type="dxa" w:w="120"/>
      </w:tblPr>
      <w:tblGrid>
        <w:gridCol w:w="792"/>
        <w:gridCol w:w="1440"/>
        <w:gridCol w:w="3888"/>
        <w:gridCol w:w="1512"/>
        <w:gridCol w:w="1728"/>
      </w:tblGrid>
      <w:tr>
        <w:trPr>
          <w:tblHeader w:val="true"/>
        </w:trPr>
        <w:tc>
          <w:tcPr>
            <w:tcW w:type="dxa" w:w="792"/>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编号</w:t>
            </w:r>
          </w:p>
        </w:tc>
        <w:tc>
          <w:tcPr>
            <w:tcW w:type="dxa" w:w="1440"/>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材料类别</w:t>
            </w:r>
          </w:p>
        </w:tc>
        <w:tc>
          <w:tcPr>
            <w:tcW w:type="dxa" w:w="3888"/>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具体材料</w:t>
            </w:r>
          </w:p>
        </w:tc>
        <w:tc>
          <w:tcPr>
            <w:tcW w:type="dxa" w:w="1512"/>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建议格式</w:t>
            </w:r>
          </w:p>
        </w:tc>
        <w:tc>
          <w:tcPr>
            <w:tcW w:type="dxa" w:w="1728"/>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完整性要求</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01</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策略类</w:t>
            </w:r>
          </w:p>
        </w:tc>
        <w:tc>
          <w:tcPr>
            <w:tcW w:type="dxa" w:w="388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最终传播策略、信息屋、风险清单</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PDF/可编辑文件</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终版</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02</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新闻稿</w:t>
            </w:r>
          </w:p>
        </w:tc>
        <w:tc>
          <w:tcPr>
            <w:tcW w:type="dxa" w:w="388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发布稿、Q&amp;A、事实表、素材包</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DOCX/PDF/原图</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终版</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03</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媒体发布</w:t>
            </w:r>
          </w:p>
        </w:tc>
        <w:tc>
          <w:tcPr>
            <w:tcW w:type="dxa" w:w="388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20个链接、媒体名称、上线时间、首屏及全文截图</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XLSX/PDF/PNG</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每个发布位</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04</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KOL资源</w:t>
            </w:r>
          </w:p>
        </w:tc>
        <w:tc>
          <w:tcPr>
            <w:tcW w:type="dxa" w:w="388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候选清单、正式及备选确认单、账号主页截图</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XLSX/PDF</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锁定时及结案时</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05</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内容审核</w:t>
            </w:r>
          </w:p>
        </w:tc>
        <w:tc>
          <w:tcPr>
            <w:tcW w:type="dxa" w:w="388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12份提纲、初稿、反馈记录、发布版</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DOCX/PDF/视频</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按账号归档</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06</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上线证据</w:t>
            </w:r>
          </w:p>
        </w:tc>
        <w:tc>
          <w:tcPr>
            <w:tcW w:type="dxa" w:w="388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链接、首屏、正文、广告标识和时间截图</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XLSX/PNG</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上线24小时内</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07</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数据</w:t>
            </w:r>
          </w:p>
        </w:tc>
        <w:tc>
          <w:tcPr>
            <w:tcW w:type="dxa" w:w="388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上线7日及30日前台或后台数据截图</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XLSX/PNG</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含统计时间</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08</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样机</w:t>
            </w:r>
          </w:p>
        </w:tc>
        <w:tc>
          <w:tcPr>
            <w:tcW w:type="dxa" w:w="388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序列号、寄送、签收、回收或赠予状态</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XLSX/物流凭证</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逐台记录</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09</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权利证明</w:t>
            </w:r>
          </w:p>
        </w:tc>
        <w:tc>
          <w:tcPr>
            <w:tcW w:type="dxa" w:w="388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音乐、图片、字体、肖像及KOL授权关键证明</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PDF/截图</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按实际使用</w:t>
            </w:r>
          </w:p>
        </w:tc>
      </w:tr>
      <w:tr>
        <w:trPr/>
        <w:tc>
          <w:tcPr>
            <w:tcW w:type="dxa" w:w="79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10</w:t>
            </w:r>
          </w:p>
        </w:tc>
        <w:tc>
          <w:tcPr>
            <w:tcW w:type="dxa" w:w="144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结案报告</w:t>
            </w:r>
          </w:p>
        </w:tc>
        <w:tc>
          <w:tcPr>
            <w:tcW w:type="dxa" w:w="388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传播结果、异常、补救、费用执行、复盘建议</w:t>
            </w:r>
          </w:p>
        </w:tc>
        <w:tc>
          <w:tcPr>
            <w:tcW w:type="dxa" w:w="151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PPTX/PDF</w:t>
            </w:r>
          </w:p>
        </w:tc>
        <w:tc>
          <w:tcPr>
            <w:tcW w:type="dxa" w:w="17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终版</w:t>
            </w:r>
          </w:p>
        </w:tc>
      </w:tr>
    </w:tbl>
    <w:p>
      <w:pPr>
        <w:spacing w:after="40"/>
      </w:pPr>
    </w:p>
    <w:p>
      <w:pPr>
        <w:pStyle w:val="ContractClause"/>
      </w:pPr>
      <w:r>
        <w:rPr>
          <w:rFonts w:ascii="Noto Sans SC" w:hAnsi="Noto Sans SC" w:eastAsia="Noto Sans SC"/>
          <w:b/>
          <w:i w:val="0"/>
          <w:color w:val="16212B"/>
          <w:sz w:val="21"/>
        </w:rPr>
        <w:t xml:space="preserve">A5.1 </w:t>
      </w:r>
      <w:r>
        <w:rPr>
          <w:rFonts w:ascii="Noto Sans SC" w:hAnsi="Noto Sans SC" w:eastAsia="Noto Sans SC"/>
          <w:b w:val="0"/>
          <w:i w:val="0"/>
          <w:color w:val="16212B"/>
          <w:sz w:val="21"/>
        </w:rPr>
        <w:t>截图应显示账号或媒体名称、内容标题、可见数据和截取日期；长图可以分段，但应能够连续核验。</w:t>
      </w:r>
    </w:p>
    <w:p>
      <w:pPr>
        <w:pStyle w:val="ContractClause"/>
      </w:pPr>
      <w:r>
        <w:rPr>
          <w:rFonts w:ascii="Noto Sans SC" w:hAnsi="Noto Sans SC" w:eastAsia="Noto Sans SC"/>
          <w:b/>
          <w:i w:val="0"/>
          <w:color w:val="16212B"/>
          <w:sz w:val="21"/>
        </w:rPr>
        <w:t xml:space="preserve">A5.2 </w:t>
      </w:r>
      <w:r>
        <w:rPr>
          <w:rFonts w:ascii="Noto Sans SC" w:hAnsi="Noto Sans SC" w:eastAsia="Noto Sans SC"/>
          <w:b w:val="0"/>
          <w:i w:val="0"/>
          <w:color w:val="16212B"/>
          <w:sz w:val="21"/>
        </w:rPr>
        <w:t>含个人信息、供应商报价或无关商业秘密的材料，乙方可进行必要遮蔽，但不得遮蔽账号主体、授权范围、上线事实及验收所需信息。</w:t>
      </w:r>
    </w:p>
    <w:p>
      <w:pPr>
        <w:pageBreakBefore/>
        <w:spacing w:before="0" w:after="100"/>
        <w:jc w:val="center"/>
      </w:pPr>
      <w:r>
        <w:rPr>
          <w:rFonts w:ascii="Noto Sans SC" w:hAnsi="Noto Sans SC" w:eastAsia="Noto Sans SC"/>
          <w:b/>
          <w:i w:val="0"/>
          <w:color w:val="16212B"/>
          <w:sz w:val="34"/>
        </w:rPr>
        <w:t>附件六  产品主张、禁用表述与项目联系人</w:t>
      </w:r>
    </w:p>
    <w:p>
      <w:pPr>
        <w:spacing w:after="280"/>
        <w:jc w:val="center"/>
      </w:pPr>
      <w:r>
        <w:rPr>
          <w:rFonts w:ascii="Noto Sans SC" w:hAnsi="Noto Sans SC" w:eastAsia="Noto Sans SC"/>
          <w:b w:val="0"/>
          <w:i w:val="0"/>
          <w:color w:val="626B75"/>
          <w:sz w:val="20"/>
        </w:rPr>
        <w:t>所有传播内容应以甲方最终书面确认版本为准</w:t>
      </w:r>
    </w:p>
    <w:tbl>
      <w:tblPr>
        <w:tblStyle w:val="TableGrid"/>
        <w:tblW w:type="dxa" w:w="9360"/>
        <w:jc w:val="left"/>
        <w:tblLayout w:type="fixed"/>
        <w:tblLook w:firstColumn="1" w:firstRow="1" w:lastColumn="0" w:lastRow="0" w:noHBand="0" w:noVBand="1" w:val="04A0"/>
        <w:tblInd w:type="dxa" w:w="120"/>
      </w:tblPr>
      <w:tblGrid>
        <w:gridCol w:w="1512"/>
        <w:gridCol w:w="3024"/>
        <w:gridCol w:w="4824"/>
      </w:tblGrid>
      <w:tr>
        <w:trPr>
          <w:tblHeader w:val="true"/>
        </w:trPr>
        <w:tc>
          <w:tcPr>
            <w:tcW w:type="dxa" w:w="1512"/>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事项</w:t>
            </w:r>
          </w:p>
        </w:tc>
        <w:tc>
          <w:tcPr>
            <w:tcW w:type="dxa" w:w="3024"/>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可用事实</w:t>
            </w:r>
          </w:p>
        </w:tc>
        <w:tc>
          <w:tcPr>
            <w:tcW w:type="dxa" w:w="4824"/>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必要限定与禁区</w:t>
            </w:r>
          </w:p>
        </w:tc>
      </w:tr>
      <w:tr>
        <w:trPr/>
        <w:tc>
          <w:tcPr>
            <w:tcW w:type="dxa" w:w="151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建议零售价</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1,699元起</w:t>
            </w:r>
          </w:p>
        </w:tc>
        <w:tc>
          <w:tcPr>
            <w:tcW w:type="dxa" w:w="48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以甲方上市通知为准；不得提前泄露</w:t>
            </w:r>
          </w:p>
        </w:tc>
      </w:tr>
      <w:tr>
        <w:trPr/>
        <w:tc>
          <w:tcPr>
            <w:tcW w:type="dxa" w:w="151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续航</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典型使用场景最长12天</w:t>
            </w:r>
          </w:p>
        </w:tc>
        <w:tc>
          <w:tcPr>
            <w:tcW w:type="dxa" w:w="48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须注明测试条件；不得表述为所有用户均可达到</w:t>
            </w:r>
          </w:p>
        </w:tc>
      </w:tr>
      <w:tr>
        <w:trPr/>
        <w:tc>
          <w:tcPr>
            <w:tcW w:type="dxa" w:w="151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防水</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5ATM防水等级</w:t>
            </w:r>
          </w:p>
        </w:tc>
        <w:tc>
          <w:tcPr>
            <w:tcW w:type="dxa" w:w="48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不等于适用于潜水、桑拿或高温热水环境</w:t>
            </w:r>
          </w:p>
        </w:tc>
      </w:tr>
      <w:tr>
        <w:trPr/>
        <w:tc>
          <w:tcPr>
            <w:tcW w:type="dxa" w:w="151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定位</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双频GNSS运动定位</w:t>
            </w:r>
          </w:p>
        </w:tc>
        <w:tc>
          <w:tcPr>
            <w:tcW w:type="dxa" w:w="48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不得承诺所有环境“零漂移”或绝对精准</w:t>
            </w:r>
          </w:p>
        </w:tc>
      </w:tr>
      <w:tr>
        <w:trPr/>
        <w:tc>
          <w:tcPr>
            <w:tcW w:type="dxa" w:w="151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心率/血氧</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支持心率和血氧趋势监测</w:t>
            </w:r>
          </w:p>
        </w:tc>
        <w:tc>
          <w:tcPr>
            <w:tcW w:type="dxa" w:w="48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非医疗器械，不用于诊断、治疗或替代就医</w:t>
            </w:r>
          </w:p>
        </w:tc>
      </w:tr>
      <w:tr>
        <w:trPr/>
        <w:tc>
          <w:tcPr>
            <w:tcW w:type="dxa" w:w="151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睡眠</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提供睡眠阶段与趋势参考</w:t>
            </w:r>
          </w:p>
        </w:tc>
        <w:tc>
          <w:tcPr>
            <w:tcW w:type="dxa" w:w="48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不得声称诊断失眠、呼吸暂停或其他疾病</w:t>
            </w:r>
          </w:p>
        </w:tc>
      </w:tr>
      <w:tr>
        <w:trPr/>
        <w:tc>
          <w:tcPr>
            <w:tcW w:type="dxa" w:w="151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压力提示</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基于设备算法提供趋势参考</w:t>
            </w:r>
          </w:p>
        </w:tc>
        <w:tc>
          <w:tcPr>
            <w:tcW w:type="dxa" w:w="48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不得表述为心理疾病评估或治疗</w:t>
            </w:r>
          </w:p>
        </w:tc>
      </w:tr>
      <w:tr>
        <w:trPr/>
        <w:tc>
          <w:tcPr>
            <w:tcW w:type="dxa" w:w="1512"/>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跌倒提醒</w:t>
            </w:r>
          </w:p>
        </w:tc>
        <w:tc>
          <w:tcPr>
            <w:tcW w:type="dxa" w:w="30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在特定条件下支持跌倒识别和紧急提醒</w:t>
            </w:r>
          </w:p>
        </w:tc>
        <w:tc>
          <w:tcPr>
            <w:tcW w:type="dxa" w:w="4824"/>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不得承诺识别所有跌倒或确保救援到达</w:t>
            </w:r>
          </w:p>
        </w:tc>
      </w:tr>
    </w:tbl>
    <w:p>
      <w:pPr>
        <w:spacing w:after="40"/>
      </w:pPr>
    </w:p>
    <w:tbl>
      <w:tblPr>
        <w:tblStyle w:val="TableGrid"/>
        <w:tblW w:type="dxa" w:w="9360"/>
        <w:jc w:val="left"/>
        <w:tblLayout w:type="fixed"/>
        <w:tblLook w:firstColumn="1" w:firstRow="1" w:lastColumn="0" w:lastRow="0" w:noHBand="0" w:noVBand="1" w:val="04A0"/>
        <w:tblInd w:type="dxa" w:w="120"/>
      </w:tblPr>
      <w:tblGrid>
        <w:gridCol w:w="1728"/>
        <w:gridCol w:w="7632"/>
      </w:tblGrid>
      <w:tr>
        <w:trPr>
          <w:tblHeader w:val="true"/>
        </w:trPr>
        <w:tc>
          <w:tcPr>
            <w:tcW w:type="dxa" w:w="1728"/>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8"/>
              </w:rPr>
              <w:t>类型</w:t>
            </w:r>
          </w:p>
        </w:tc>
        <w:tc>
          <w:tcPr>
            <w:tcW w:type="dxa" w:w="7632"/>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8"/>
              </w:rPr>
              <w:t>原则上禁用的示例</w:t>
            </w:r>
          </w:p>
        </w:tc>
      </w:tr>
      <w:tr>
        <w:trPr/>
        <w:tc>
          <w:tcPr>
            <w:tcW w:type="dxa" w:w="172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8"/>
              </w:rPr>
              <w:t>绝对化</w:t>
            </w:r>
          </w:p>
        </w:tc>
        <w:tc>
          <w:tcPr>
            <w:tcW w:type="dxa" w:w="763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国家级、最高级、最佳、第一、百分之百、零误差</w:t>
            </w:r>
          </w:p>
        </w:tc>
      </w:tr>
      <w:tr>
        <w:trPr/>
        <w:tc>
          <w:tcPr>
            <w:tcW w:type="dxa" w:w="172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8"/>
              </w:rPr>
              <w:t>医疗功效</w:t>
            </w:r>
          </w:p>
        </w:tc>
        <w:tc>
          <w:tcPr>
            <w:tcW w:type="dxa" w:w="763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医疗级、治愈失眠、诊断心脏病、预防猝死、替代医生</w:t>
            </w:r>
          </w:p>
        </w:tc>
      </w:tr>
      <w:tr>
        <w:trPr/>
        <w:tc>
          <w:tcPr>
            <w:tcW w:type="dxa" w:w="172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8"/>
              </w:rPr>
              <w:t>无依据比较</w:t>
            </w:r>
          </w:p>
        </w:tc>
        <w:tc>
          <w:tcPr>
            <w:tcW w:type="dxa" w:w="763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全面碾压、比某竞品准确X%、行业唯一且无充分依据</w:t>
            </w:r>
          </w:p>
        </w:tc>
      </w:tr>
      <w:tr>
        <w:trPr/>
        <w:tc>
          <w:tcPr>
            <w:tcW w:type="dxa" w:w="172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8"/>
              </w:rPr>
              <w:t>虚构体验</w:t>
            </w:r>
          </w:p>
        </w:tc>
        <w:tc>
          <w:tcPr>
            <w:tcW w:type="dxa" w:w="763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未佩戴却声称连续佩戴、预设睡眠分数、摆拍运动轨迹</w:t>
            </w:r>
          </w:p>
        </w:tc>
      </w:tr>
      <w:tr>
        <w:trPr/>
        <w:tc>
          <w:tcPr>
            <w:tcW w:type="dxa" w:w="172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8"/>
              </w:rPr>
              <w:t>隐私安全</w:t>
            </w:r>
          </w:p>
        </w:tc>
        <w:tc>
          <w:tcPr>
            <w:tcW w:type="dxa" w:w="763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绝不泄露、绝对匿名、数据完全不会上传等未经证实表述</w:t>
            </w:r>
          </w:p>
        </w:tc>
      </w:tr>
      <w:tr>
        <w:trPr/>
        <w:tc>
          <w:tcPr>
            <w:tcW w:type="dxa" w:w="1728"/>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8"/>
              </w:rPr>
              <w:t>价格促销</w:t>
            </w:r>
          </w:p>
        </w:tc>
        <w:tc>
          <w:tcPr>
            <w:tcW w:type="dxa" w:w="763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8"/>
              </w:rPr>
              <w:t>最低价、最后一天、永久优惠等与正式政策不一致表述</w:t>
            </w:r>
          </w:p>
        </w:tc>
      </w:tr>
    </w:tbl>
    <w:p>
      <w:pPr>
        <w:spacing w:after="40"/>
      </w:pPr>
    </w:p>
    <w:tbl>
      <w:tblPr>
        <w:tblStyle w:val="TableGrid"/>
        <w:tblW w:type="dxa" w:w="9360"/>
        <w:jc w:val="left"/>
        <w:tblLayout w:type="fixed"/>
        <w:tblLook w:firstColumn="1" w:firstRow="1" w:lastColumn="0" w:lastRow="0" w:noHBand="0" w:noVBand="1" w:val="04A0"/>
        <w:tblInd w:type="dxa" w:w="120"/>
      </w:tblPr>
      <w:tblGrid>
        <w:gridCol w:w="1800"/>
        <w:gridCol w:w="1080"/>
        <w:gridCol w:w="3528"/>
        <w:gridCol w:w="2952"/>
      </w:tblGrid>
      <w:tr>
        <w:trPr>
          <w:tblHeader w:val="true"/>
        </w:trPr>
        <w:tc>
          <w:tcPr>
            <w:tcW w:type="dxa" w:w="1800"/>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角色</w:t>
            </w:r>
          </w:p>
        </w:tc>
        <w:tc>
          <w:tcPr>
            <w:tcW w:type="dxa" w:w="1080"/>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姓名</w:t>
            </w:r>
          </w:p>
        </w:tc>
        <w:tc>
          <w:tcPr>
            <w:tcW w:type="dxa" w:w="3528"/>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权限/职责</w:t>
            </w:r>
          </w:p>
        </w:tc>
        <w:tc>
          <w:tcPr>
            <w:tcW w:type="dxa" w:w="2952"/>
            <w:tcMar>
              <w:top w:w="90" w:type="dxa"/>
              <w:bottom w:w="90" w:type="dxa"/>
              <w:start w:w="120" w:type="dxa"/>
              <w:end w:w="120" w:type="dxa"/>
            </w:tcMar>
            <w:vAlign w:val="center"/>
            <w:shd w:fill="E8EEF5" w:val="clear"/>
          </w:tcPr>
          <w:p>
            <w:pPr>
              <w:spacing w:before="0" w:after="40" w:line="252" w:lineRule="auto"/>
              <w:jc w:val="center"/>
            </w:pPr>
            <w:r>
              <w:rPr>
                <w:rFonts w:ascii="Noto Sans SC" w:hAnsi="Noto Sans SC" w:eastAsia="Noto Sans SC"/>
                <w:b/>
                <w:i w:val="0"/>
                <w:color w:val="16212B"/>
                <w:sz w:val="17"/>
              </w:rPr>
              <w:t>联系渠道</w:t>
            </w:r>
          </w:p>
        </w:tc>
      </w:tr>
      <w:tr>
        <w:trPr/>
        <w:tc>
          <w:tcPr>
            <w:tcW w:type="dxa" w:w="1800"/>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甲方项目负责人</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赵静</w:t>
            </w:r>
          </w:p>
        </w:tc>
        <w:tc>
          <w:tcPr>
            <w:tcW w:type="dxa" w:w="35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排期、资源确认、商业决策</w:t>
            </w:r>
          </w:p>
        </w:tc>
        <w:tc>
          <w:tcPr>
            <w:tcW w:type="dxa" w:w="29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企业微信项目群/合同指定邮箱</w:t>
            </w:r>
          </w:p>
        </w:tc>
      </w:tr>
      <w:tr>
        <w:trPr/>
        <w:tc>
          <w:tcPr>
            <w:tcW w:type="dxa" w:w="1800"/>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甲方产品负责人</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林舟</w:t>
            </w:r>
          </w:p>
        </w:tc>
        <w:tc>
          <w:tcPr>
            <w:tcW w:type="dxa" w:w="35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参数、样机、功能解释</w:t>
            </w:r>
          </w:p>
        </w:tc>
        <w:tc>
          <w:tcPr>
            <w:tcW w:type="dxa" w:w="29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企业微信项目群</w:t>
            </w:r>
          </w:p>
        </w:tc>
      </w:tr>
      <w:tr>
        <w:trPr/>
        <w:tc>
          <w:tcPr>
            <w:tcW w:type="dxa" w:w="1800"/>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甲方法务合规</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顾言</w:t>
            </w:r>
          </w:p>
        </w:tc>
        <w:tc>
          <w:tcPr>
            <w:tcW w:type="dxa" w:w="35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广告、授权、健康表述、危机</w:t>
            </w:r>
          </w:p>
        </w:tc>
        <w:tc>
          <w:tcPr>
            <w:tcW w:type="dxa" w:w="29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合同指定邮箱；紧急事项电话</w:t>
            </w:r>
          </w:p>
        </w:tc>
      </w:tr>
      <w:tr>
        <w:trPr/>
        <w:tc>
          <w:tcPr>
            <w:tcW w:type="dxa" w:w="1800"/>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乙方项目负责人</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陈思羽</w:t>
            </w:r>
          </w:p>
        </w:tc>
        <w:tc>
          <w:tcPr>
            <w:tcW w:type="dxa" w:w="35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统筹、媒体、KOL、结案</w:t>
            </w:r>
          </w:p>
        </w:tc>
        <w:tc>
          <w:tcPr>
            <w:tcW w:type="dxa" w:w="29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企业微信项目群/合同指定邮箱</w:t>
            </w:r>
          </w:p>
        </w:tc>
      </w:tr>
      <w:tr>
        <w:trPr/>
        <w:tc>
          <w:tcPr>
            <w:tcW w:type="dxa" w:w="1800"/>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乙方内容负责人</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周然</w:t>
            </w:r>
          </w:p>
        </w:tc>
        <w:tc>
          <w:tcPr>
            <w:tcW w:type="dxa" w:w="35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稿件、脚本、审稿、上线核验</w:t>
            </w:r>
          </w:p>
        </w:tc>
        <w:tc>
          <w:tcPr>
            <w:tcW w:type="dxa" w:w="29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企业微信项目群</w:t>
            </w:r>
          </w:p>
        </w:tc>
      </w:tr>
      <w:tr>
        <w:trPr/>
        <w:tc>
          <w:tcPr>
            <w:tcW w:type="dxa" w:w="1800"/>
            <w:tcMar>
              <w:top w:w="90" w:type="dxa"/>
              <w:bottom w:w="90" w:type="dxa"/>
              <w:start w:w="120" w:type="dxa"/>
              <w:end w:w="120" w:type="dxa"/>
            </w:tcMar>
            <w:vAlign w:val="center"/>
          </w:tcPr>
          <w:p>
            <w:pPr>
              <w:spacing w:before="0" w:after="40" w:line="252" w:lineRule="auto"/>
              <w:jc w:val="center"/>
            </w:pPr>
            <w:r>
              <w:rPr>
                <w:rFonts w:ascii="Noto Sans SC" w:hAnsi="Noto Sans SC" w:eastAsia="Noto Sans SC"/>
                <w:b w:val="0"/>
                <w:i w:val="0"/>
                <w:color w:val="16212B"/>
                <w:sz w:val="17"/>
              </w:rPr>
              <w:t>乙方舆情值班</w:t>
            </w:r>
          </w:p>
        </w:tc>
        <w:tc>
          <w:tcPr>
            <w:tcW w:type="dxa" w:w="1080"/>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项目值班号</w:t>
            </w:r>
          </w:p>
        </w:tc>
        <w:tc>
          <w:tcPr>
            <w:tcW w:type="dxa" w:w="3528"/>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红色事件30分钟响应</w:t>
            </w:r>
          </w:p>
        </w:tc>
        <w:tc>
          <w:tcPr>
            <w:tcW w:type="dxa" w:w="2952"/>
            <w:tcMar>
              <w:top w:w="90" w:type="dxa"/>
              <w:bottom w:w="90" w:type="dxa"/>
              <w:start w:w="120" w:type="dxa"/>
              <w:end w:w="120" w:type="dxa"/>
            </w:tcMar>
            <w:vAlign w:val="center"/>
          </w:tcPr>
          <w:p>
            <w:pPr>
              <w:spacing w:before="0" w:after="40" w:line="252" w:lineRule="auto"/>
            </w:pPr>
            <w:r>
              <w:rPr>
                <w:rFonts w:ascii="Noto Sans SC" w:hAnsi="Noto Sans SC" w:eastAsia="Noto Sans SC"/>
                <w:b w:val="0"/>
                <w:i w:val="0"/>
                <w:color w:val="16212B"/>
                <w:sz w:val="17"/>
              </w:rPr>
              <w:t>项目启动会书面确认</w:t>
            </w:r>
          </w:p>
        </w:tc>
      </w:tr>
    </w:tbl>
    <w:p>
      <w:pPr>
        <w:spacing w:after="40"/>
      </w:pPr>
    </w:p>
    <w:p>
      <w:pPr>
        <w:pStyle w:val="ContractClause"/>
      </w:pPr>
      <w:r>
        <w:rPr>
          <w:rFonts w:ascii="Noto Sans SC" w:hAnsi="Noto Sans SC" w:eastAsia="Noto Sans SC"/>
          <w:b/>
          <w:i w:val="0"/>
          <w:color w:val="16212B"/>
          <w:sz w:val="21"/>
        </w:rPr>
        <w:t xml:space="preserve">A6.1 </w:t>
      </w:r>
      <w:r>
        <w:rPr>
          <w:rFonts w:ascii="Noto Sans SC" w:hAnsi="Noto Sans SC" w:eastAsia="Noto Sans SC"/>
          <w:b w:val="0"/>
          <w:i w:val="0"/>
          <w:color w:val="16212B"/>
          <w:sz w:val="21"/>
        </w:rPr>
        <w:t>本附件中的参数如与经甲方盖章或指定邮箱发出的上市最终口径不一致，以时间在后的最终口径为准。乙方应同步替换尚未上线内容。</w:t>
      </w:r>
    </w:p>
    <w:p>
      <w:pPr>
        <w:pStyle w:val="ContractClause"/>
      </w:pPr>
      <w:r>
        <w:rPr>
          <w:rFonts w:ascii="Noto Sans SC" w:hAnsi="Noto Sans SC" w:eastAsia="Noto Sans SC"/>
          <w:b/>
          <w:i w:val="0"/>
          <w:color w:val="16212B"/>
          <w:sz w:val="21"/>
        </w:rPr>
        <w:t xml:space="preserve">A6.2 </w:t>
      </w:r>
      <w:r>
        <w:rPr>
          <w:rFonts w:ascii="Noto Sans SC" w:hAnsi="Noto Sans SC" w:eastAsia="Noto Sans SC"/>
          <w:b w:val="0"/>
          <w:i w:val="0"/>
          <w:color w:val="16212B"/>
          <w:sz w:val="21"/>
        </w:rPr>
        <w:t>联系人仅在其职责范围内作出项目确认；涉及合同价款、责任限制、解除或扩大授权的，仍须由双方授权代表书面确认。</w:t>
      </w:r>
    </w:p>
    <w:sectPr w:rsidR="00FC693F" w:rsidRPr="0006063C" w:rsidSect="00034616">
      <w:headerReference w:type="default" r:id="rId9"/>
      <w:footerReference w:type="default" r:id="rId10"/>
      <w:footerReference w:type="first" r:id="rId11"/>
      <w:pgSz w:w="12240" w:h="15840"/>
      <w:pgMar w:top="1152" w:right="1440" w:bottom="1152"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center"/>
    </w:pPr>
    <w:r>
      <w:rPr>
        <w:rFonts w:ascii="Noto Sans SC" w:hAnsi="Noto Sans SC" w:eastAsia="Noto Sans SC"/>
        <w:b w:val="0"/>
        <w:i w:val="0"/>
        <w:color w:val="626B75"/>
        <w:sz w:val="18"/>
      </w:rPr>
      <w:t xml:space="preserve">第 </w:t>
    </w:r>
    <w:r>
      <w:rPr>
        <w:rFonts w:ascii="Noto Sans SC" w:hAnsi="Noto Sans SC" w:eastAsia="Noto Sans SC"/>
        <w:b w:val="0"/>
        <w:i w:val="0"/>
        <w:color w:val="626B75"/>
        <w:sz w:val="18"/>
      </w:rPr>
      <w:fldChar w:fldCharType="begin"/>
      <w:instrText xml:space="preserve"> PAGE </w:instrText>
      <w:fldChar w:fldCharType="separate"/>
      <w:t>1</w:t>
      <w:fldChar w:fldCharType="end"/>
    </w:r>
    <w:r>
      <w:rPr>
        <w:rFonts w:ascii="Noto Sans SC" w:hAnsi="Noto Sans SC" w:eastAsia="Noto Sans SC"/>
        <w:b w:val="0"/>
        <w:i w:val="0"/>
        <w:color w:val="626B75"/>
        <w:sz w:val="18"/>
      </w:rPr>
      <w:t xml:space="preserve"> 页 / 共 </w:t>
    </w:r>
    <w:r>
      <w:rPr>
        <w:rFonts w:ascii="Noto Sans SC" w:hAnsi="Noto Sans SC" w:eastAsia="Noto Sans SC"/>
        <w:b w:val="0"/>
        <w:i w:val="0"/>
        <w:color w:val="626B75"/>
        <w:sz w:val="18"/>
      </w:rPr>
      <w:fldChar w:fldCharType="begin"/>
      <w:instrText xml:space="preserve"> NUMPAGES </w:instrText>
      <w:fldChar w:fldCharType="separate"/>
      <w:t>1</w:t>
      <w:fldChar w:fldCharType="end"/>
    </w:r>
    <w:r>
      <w:rPr>
        <w:rFonts w:ascii="Noto Sans SC" w:hAnsi="Noto Sans SC" w:eastAsia="Noto Sans SC"/>
        <w:b w:val="0"/>
        <w:i w:val="0"/>
        <w:color w:val="626B75"/>
        <w:sz w:val="18"/>
      </w:rPr>
      <w:t xml:space="preserve"> 页</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SC" w:hAnsi="Noto Sans SC" w:eastAsia="Noto Sans SC"/>
        <w:b w:val="0"/>
        <w:i w:val="0"/>
        <w:color w:val="626B75"/>
        <w:sz w:val="17"/>
      </w:rPr>
      <w:t>合同编号：YJ-PX2-MKT-2026-0901｜商业秘密</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Noto Sans SC" w:hAnsi="Noto Sans SC" w:eastAsia="Noto Sans SC"/>
        <w:b/>
        <w:i w:val="0"/>
        <w:color w:val="626B75"/>
        <w:sz w:val="17"/>
      </w:rPr>
      <w:t>曜境 Pulse X2 新品上市项目｜市场推广服务合同</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312" w:lineRule="auto"/>
    </w:pPr>
    <w:rPr>
      <w:rFonts w:ascii="Noto Sans SC" w:hAnsi="Noto Sans SC" w:eastAsia="Noto Sans SC"/>
      <w:color w:val="16212B"/>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Noto Sans SC" w:hAnsi="Noto Sans SC" w:eastAsia="Noto Sans SC"/>
      <w:b/>
      <w:bCs/>
      <w:color w:val="16212B"/>
      <w:sz w:val="28"/>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Noto Sans SC" w:hAnsi="Noto Sans SC" w:eastAsia="Noto Sans SC"/>
      <w:b/>
      <w:bCs/>
      <w:color w:val="16212B"/>
      <w:sz w:val="24"/>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Noto Sans SC" w:hAnsi="Noto Sans SC" w:eastAsia="Noto Sans SC"/>
      <w:b/>
      <w:bCs/>
      <w:color w:val="16212B"/>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ntractBody">
    <w:name w:val="Contract Body"/>
    <w:basedOn w:val="Normal"/>
    <w:pPr>
      <w:spacing w:line="312" w:lineRule="auto" w:after="120"/>
      <w:jc w:val="both"/>
    </w:pPr>
    <w:rPr>
      <w:rFonts w:ascii="Noto Sans SC" w:hAnsi="Noto Sans SC" w:eastAsia="Noto Sans SC"/>
      <w:sz w:val="21"/>
    </w:rPr>
  </w:style>
  <w:style w:type="paragraph" w:customStyle="1" w:styleId="ContractClause">
    <w:name w:val="Contract Clause"/>
    <w:basedOn w:val="ContractBody"/>
    <w:pPr>
      <w:widowControl/>
      <w:spacing w:after="100"/>
      <w:ind w:firstLine="0" w:left="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曜境 Pulse X2 智能手表新品上市项目市场推广服务合同</dc:title>
  <dc:subject>媒体新闻稿发布与小红书KOL种草合作</dc:subject>
  <dc:creator>合同双方</dc:creator>
  <cp:keywords>市场推广；智能手表；媒体发布；小红书；KOL</cp:keywords>
  <dc:description>完整商业合同文本</dc:description>
  <cp:lastModifiedBy>合同双方</cp:lastModifiedBy>
  <cp:revision>1</cp:revision>
  <dcterms:created xsi:type="dcterms:W3CDTF">2013-12-23T23:15:00Z</dcterms:created>
  <dcterms:modified xsi:type="dcterms:W3CDTF">2013-12-23T23:15:00Z</dcterms:modified>
  <cp:category/>
</cp:coreProperties>
</file>