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800" w:after="280"/>
        <w:jc w:val="center"/>
      </w:pPr>
      <w:r>
        <w:rPr>
          <w:rFonts w:ascii="Noto Sans CJK SC" w:hAnsi="Noto Sans CJK SC" w:eastAsia="Noto Sans CJK SC"/>
          <w:b/>
          <w:sz w:val="48"/>
        </w:rPr>
        <w:t>客户运营支持服务协议</w:t>
      </w:r>
    </w:p>
    <w:p>
      <w:pPr>
        <w:spacing w:after="560"/>
        <w:jc w:val="center"/>
      </w:pPr>
      <w:r>
        <w:rPr>
          <w:rFonts w:ascii="Noto Sans CJK SC" w:hAnsi="Noto Sans CJK SC" w:eastAsia="Noto Sans CJK SC"/>
          <w:sz w:val="28"/>
        </w:rPr>
        <w:t>智能终端售后工单处理与客户运营支持项目</w:t>
      </w:r>
    </w:p>
    <w:tbl>
      <w:tblPr>
        <w:tblStyle w:val="TableGrid"/>
        <w:tblW w:type="auto" w:w="0"/>
        <w:jc w:val="center"/>
        <w:tblLook w:firstColumn="1" w:firstRow="1" w:lastColumn="0" w:lastRow="0" w:noHBand="0" w:noVBand="1" w:val="04A0"/>
      </w:tblPr>
      <w:tblGrid>
        <w:gridCol w:w="4816"/>
        <w:gridCol w:w="4816"/>
      </w:tblGrid>
      <w:tr>
        <w:tc>
          <w:tcPr>
            <w:tcW w:type="dxa" w:w="1814"/>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项目</w:t>
            </w:r>
          </w:p>
        </w:tc>
        <w:tc>
          <w:tcPr>
            <w:tcW w:type="dxa" w:w="5669"/>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内容</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协议编号</w:t>
            </w:r>
          </w:p>
        </w:tc>
        <w:tc>
          <w:tcPr>
            <w:tcW w:type="dxa" w:w="5669"/>
            <w:vAlign w:val="center"/>
            <w:tcMar>
              <w:top w:w="90" w:type="dxa"/>
              <w:start w:w="100" w:type="dxa"/>
              <w:bottom w:w="90" w:type="dxa"/>
              <w:end w:w="100" w:type="dxa"/>
            </w:tcMar>
          </w:tcPr>
          <w:p>
            <w:pPr>
              <w:spacing w:after="0"/>
            </w:pPr>
            <w:r/>
            <w:r>
              <w:rPr>
                <w:rFonts w:ascii="Noto Sans CJK SC" w:hAnsi="Noto Sans CJK SC" w:eastAsia="Noto Sans CJK SC"/>
                <w:b w:val="0"/>
                <w:sz w:val="19"/>
              </w:rPr>
              <w:t>YH-CS-2026-0825</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服务商</w:t>
            </w:r>
          </w:p>
        </w:tc>
        <w:tc>
          <w:tcPr>
            <w:tcW w:type="dxa" w:w="5669"/>
            <w:vAlign w:val="center"/>
            <w:tcMar>
              <w:top w:w="90" w:type="dxa"/>
              <w:start w:w="100" w:type="dxa"/>
              <w:bottom w:w="90" w:type="dxa"/>
              <w:end w:w="100" w:type="dxa"/>
            </w:tcMar>
          </w:tcPr>
          <w:p>
            <w:pPr>
              <w:spacing w:after="0"/>
            </w:pPr>
            <w:r/>
            <w:r>
              <w:rPr>
                <w:rFonts w:ascii="Noto Sans CJK SC" w:hAnsi="Noto Sans CJK SC" w:eastAsia="Noto Sans CJK SC"/>
                <w:b w:val="0"/>
                <w:sz w:val="19"/>
              </w:rPr>
              <w:t>远恒运营服务（北京）有限公司</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客户</w:t>
            </w:r>
          </w:p>
        </w:tc>
        <w:tc>
          <w:tcPr>
            <w:tcW w:type="dxa" w:w="5669"/>
            <w:vAlign w:val="center"/>
            <w:tcMar>
              <w:top w:w="90" w:type="dxa"/>
              <w:start w:w="100" w:type="dxa"/>
              <w:bottom w:w="90" w:type="dxa"/>
              <w:end w:w="100" w:type="dxa"/>
            </w:tcMar>
          </w:tcPr>
          <w:p>
            <w:pPr>
              <w:spacing w:after="0"/>
            </w:pPr>
            <w:r/>
            <w:r>
              <w:rPr>
                <w:rFonts w:ascii="Noto Sans CJK SC" w:hAnsi="Noto Sans CJK SC" w:eastAsia="Noto Sans CJK SC"/>
                <w:b w:val="0"/>
                <w:sz w:val="19"/>
              </w:rPr>
              <w:t>澄海智能科技（北京）有限公司</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服务期间</w:t>
            </w:r>
          </w:p>
        </w:tc>
        <w:tc>
          <w:tcPr>
            <w:tcW w:type="dxa" w:w="5669"/>
            <w:vAlign w:val="center"/>
            <w:tcMar>
              <w:top w:w="90" w:type="dxa"/>
              <w:start w:w="100" w:type="dxa"/>
              <w:bottom w:w="90" w:type="dxa"/>
              <w:end w:w="100" w:type="dxa"/>
            </w:tcMar>
          </w:tcPr>
          <w:p>
            <w:pPr>
              <w:spacing w:after="0"/>
            </w:pPr>
            <w:r/>
            <w:r>
              <w:rPr>
                <w:rFonts w:ascii="Noto Sans CJK SC" w:hAnsi="Noto Sans CJK SC" w:eastAsia="Noto Sans CJK SC"/>
                <w:b w:val="0"/>
                <w:sz w:val="19"/>
              </w:rPr>
              <w:t>2026年9月1日至2027年8月31日</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签署日期</w:t>
            </w:r>
          </w:p>
        </w:tc>
        <w:tc>
          <w:tcPr>
            <w:tcW w:type="dxa" w:w="5669"/>
            <w:vAlign w:val="center"/>
            <w:tcMar>
              <w:top w:w="90" w:type="dxa"/>
              <w:start w:w="100" w:type="dxa"/>
              <w:bottom w:w="90" w:type="dxa"/>
              <w:end w:w="100" w:type="dxa"/>
            </w:tcMar>
          </w:tcPr>
          <w:p>
            <w:pPr>
              <w:spacing w:after="0"/>
            </w:pPr>
            <w:r/>
            <w:r>
              <w:rPr>
                <w:rFonts w:ascii="Noto Sans CJK SC" w:hAnsi="Noto Sans CJK SC" w:eastAsia="Noto Sans CJK SC"/>
                <w:b w:val="0"/>
                <w:sz w:val="19"/>
              </w:rPr>
              <w:t>2026年8月25日</w:t>
            </w:r>
          </w:p>
        </w:tc>
      </w:tr>
    </w:tbl>
    <w:p>
      <w:pPr>
        <w:spacing w:after="0"/>
      </w:pPr>
    </w:p>
    <w:p>
      <w:r>
        <w:br w:type="page"/>
      </w:r>
    </w:p>
    <w:p>
      <w:pPr>
        <w:pStyle w:val="Heading1"/>
        <w:keepNext/>
        <w:spacing w:before="200" w:after="100"/>
      </w:pPr>
      <w:r>
        <w:rPr>
          <w:rFonts w:ascii="Noto Sans CJK SC" w:hAnsi="Noto Sans CJK SC" w:eastAsia="Noto Sans CJK SC"/>
          <w:b/>
          <w:sz w:val="28"/>
        </w:rPr>
        <w:t>签约双方</w:t>
      </w:r>
    </w:p>
    <w:tbl>
      <w:tblPr>
        <w:tblStyle w:val="TableGrid"/>
        <w:tblW w:type="auto" w:w="0"/>
        <w:jc w:val="center"/>
        <w:tblLook w:firstColumn="1" w:firstRow="1" w:lastColumn="0" w:lastRow="0" w:noHBand="0" w:noVBand="1" w:val="04A0"/>
      </w:tblPr>
      <w:tblGrid>
        <w:gridCol w:w="4816"/>
        <w:gridCol w:w="4816"/>
      </w:tblGrid>
      <w:tr>
        <w:tc>
          <w:tcPr>
            <w:tcW w:type="dxa" w:w="1871"/>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主体</w:t>
            </w:r>
          </w:p>
        </w:tc>
        <w:tc>
          <w:tcPr>
            <w:tcW w:type="dxa" w:w="5613"/>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信息</w:t>
            </w:r>
          </w:p>
        </w:tc>
      </w:tr>
      <w:tr>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甲方（服务商）</w:t>
            </w:r>
          </w:p>
        </w:tc>
        <w:tc>
          <w:tcPr>
            <w:tcW w:type="dxa" w:w="5613"/>
            <w:vAlign w:val="center"/>
            <w:tcMar>
              <w:top w:w="90" w:type="dxa"/>
              <w:start w:w="100" w:type="dxa"/>
              <w:bottom w:w="90" w:type="dxa"/>
              <w:end w:w="100" w:type="dxa"/>
            </w:tcMar>
          </w:tcPr>
          <w:p>
            <w:pPr>
              <w:spacing w:after="0"/>
            </w:pPr>
            <w:r/>
            <w:r>
              <w:rPr>
                <w:rFonts w:ascii="Noto Sans CJK SC" w:hAnsi="Noto Sans CJK SC" w:eastAsia="Noto Sans CJK SC"/>
                <w:b w:val="0"/>
                <w:sz w:val="19"/>
              </w:rPr>
              <w:t>远恒运营服务（北京）有限公司</w:t>
              <w:br/>
              <w:t>地址：北京市朝阳区望京东路18号</w:t>
              <w:br/>
              <w:t>联系人：赵晨  电话：010-8666 2188  邮箱：contract@example.net</w:t>
            </w:r>
          </w:p>
        </w:tc>
      </w:tr>
      <w:tr>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乙方（客户/采购方）</w:t>
            </w:r>
          </w:p>
        </w:tc>
        <w:tc>
          <w:tcPr>
            <w:tcW w:type="dxa" w:w="5613"/>
            <w:vAlign w:val="center"/>
            <w:tcMar>
              <w:top w:w="90" w:type="dxa"/>
              <w:start w:w="100" w:type="dxa"/>
              <w:bottom w:w="90" w:type="dxa"/>
              <w:end w:w="100" w:type="dxa"/>
            </w:tcMar>
          </w:tcPr>
          <w:p>
            <w:pPr>
              <w:spacing w:after="0"/>
            </w:pPr>
            <w:r/>
            <w:r>
              <w:rPr>
                <w:rFonts w:ascii="Noto Sans CJK SC" w:hAnsi="Noto Sans CJK SC" w:eastAsia="Noto Sans CJK SC"/>
                <w:b w:val="0"/>
                <w:sz w:val="19"/>
              </w:rPr>
              <w:t>澄海智能科技（北京）有限公司</w:t>
              <w:br/>
              <w:t>地址：北京市海淀区知春路88号</w:t>
              <w:br/>
              <w:t>联系人：王宁  电话：010-8888 6601  邮箱：procurement@example.com</w:t>
            </w:r>
          </w:p>
        </w:tc>
      </w:tr>
    </w:tbl>
    <w:p>
      <w:pPr>
        <w:spacing w:after="0"/>
      </w:pPr>
    </w:p>
    <w:p>
      <w:pPr>
        <w:spacing w:line="324" w:lineRule="auto" w:after="100"/>
        <w:ind w:firstLine="420"/>
      </w:pPr>
      <w:r>
        <w:rPr>
          <w:rFonts w:ascii="Noto Sans CJK SC" w:hAnsi="Noto Sans CJK SC" w:eastAsia="Noto Sans CJK SC"/>
          <w:b w:val="0"/>
          <w:sz w:val="21"/>
        </w:rPr>
        <w:t>鉴于乙方希望获得智能终端售后工单处理与客户运营支持服务，甲方具有相关运营交付能力，双方就服务内容、项目团队、费用、数据处理及其他事项达成本协议。</w:t>
      </w:r>
    </w:p>
    <w:p>
      <w:pPr>
        <w:pStyle w:val="Heading1"/>
        <w:keepNext/>
        <w:spacing w:before="200" w:after="100"/>
      </w:pPr>
      <w:r>
        <w:rPr>
          <w:rFonts w:ascii="Noto Sans CJK SC" w:hAnsi="Noto Sans CJK SC" w:eastAsia="Noto Sans CJK SC"/>
          <w:b/>
          <w:sz w:val="28"/>
        </w:rPr>
        <w:t>第一条 定义</w:t>
      </w:r>
    </w:p>
    <w:p>
      <w:pPr>
        <w:spacing w:line="324" w:lineRule="auto" w:after="100"/>
        <w:ind w:left="0" w:firstLine="0"/>
      </w:pPr>
      <w:r>
        <w:rPr>
          <w:rFonts w:ascii="Noto Sans CJK SC" w:hAnsi="Noto Sans CJK SC" w:eastAsia="Noto Sans CJK SC"/>
          <w:b/>
          <w:sz w:val="21"/>
        </w:rPr>
        <w:t xml:space="preserve">1.1 </w:t>
      </w:r>
      <w:r>
        <w:rPr>
          <w:rFonts w:ascii="Noto Sans CJK SC" w:hAnsi="Noto Sans CJK SC" w:eastAsia="Noto Sans CJK SC"/>
          <w:sz w:val="21"/>
        </w:rPr>
        <w:t>“服务”指甲方根据本协议、服务订单及乙方业务要求提供的售后工单受理、分类流转、客户回访、重大客诉升级、知识库维护、运营报表及相关运营支持。</w:t>
      </w:r>
    </w:p>
    <w:p>
      <w:pPr>
        <w:spacing w:line="324" w:lineRule="auto" w:after="100"/>
        <w:ind w:left="0" w:firstLine="0"/>
      </w:pPr>
      <w:r>
        <w:rPr>
          <w:rFonts w:ascii="Noto Sans CJK SC" w:hAnsi="Noto Sans CJK SC" w:eastAsia="Noto Sans CJK SC"/>
          <w:b/>
          <w:sz w:val="21"/>
        </w:rPr>
        <w:t xml:space="preserve">1.2 </w:t>
      </w:r>
      <w:r>
        <w:rPr>
          <w:rFonts w:ascii="Noto Sans CJK SC" w:hAnsi="Noto Sans CJK SC" w:eastAsia="Noto Sans CJK SC"/>
          <w:sz w:val="21"/>
        </w:rPr>
        <w:t>“服务人员”指甲方或其经授权的关联公司、合作服务商安排参与项目交付的人员。</w:t>
      </w:r>
    </w:p>
    <w:p>
      <w:pPr>
        <w:spacing w:line="324" w:lineRule="auto" w:after="100"/>
        <w:ind w:left="0" w:firstLine="0"/>
      </w:pPr>
      <w:r>
        <w:rPr>
          <w:rFonts w:ascii="Noto Sans CJK SC" w:hAnsi="Noto Sans CJK SC" w:eastAsia="Noto Sans CJK SC"/>
          <w:b/>
          <w:sz w:val="21"/>
        </w:rPr>
        <w:t xml:space="preserve">1.3 </w:t>
      </w:r>
      <w:r>
        <w:rPr>
          <w:rFonts w:ascii="Noto Sans CJK SC" w:hAnsi="Noto Sans CJK SC" w:eastAsia="Noto Sans CJK SC"/>
          <w:sz w:val="21"/>
        </w:rPr>
        <w:t>“服务成果”指月度运营报告、质检记录、知识库更新、服务数据统计、流程文件、培训材料及在服务过程中形成的其他交付内容。</w:t>
      </w:r>
    </w:p>
    <w:p>
      <w:pPr>
        <w:spacing w:line="324" w:lineRule="auto" w:after="100"/>
        <w:ind w:left="0" w:firstLine="0"/>
      </w:pPr>
      <w:r>
        <w:rPr>
          <w:rFonts w:ascii="Noto Sans CJK SC" w:hAnsi="Noto Sans CJK SC" w:eastAsia="Noto Sans CJK SC"/>
          <w:b/>
          <w:sz w:val="21"/>
        </w:rPr>
        <w:t xml:space="preserve">1.4 </w:t>
      </w:r>
      <w:r>
        <w:rPr>
          <w:rFonts w:ascii="Noto Sans CJK SC" w:hAnsi="Noto Sans CJK SC" w:eastAsia="Noto Sans CJK SC"/>
          <w:sz w:val="21"/>
        </w:rPr>
        <w:t>“服务订单”指双方签署的附件一以及后续经项目负责人邮件确认的服务增减、排班、人员配置和业务量调整记录。</w:t>
      </w:r>
    </w:p>
    <w:p>
      <w:pPr>
        <w:pStyle w:val="Heading1"/>
        <w:keepNext/>
        <w:spacing w:before="200" w:after="100"/>
      </w:pPr>
      <w:r>
        <w:rPr>
          <w:rFonts w:ascii="Noto Sans CJK SC" w:hAnsi="Noto Sans CJK SC" w:eastAsia="Noto Sans CJK SC"/>
          <w:b/>
          <w:sz w:val="28"/>
        </w:rPr>
        <w:t>第二条 服务委托与项目团队</w:t>
      </w:r>
    </w:p>
    <w:p>
      <w:pPr>
        <w:spacing w:line="324" w:lineRule="auto" w:after="100"/>
        <w:ind w:left="0" w:firstLine="0"/>
      </w:pPr>
      <w:r>
        <w:rPr>
          <w:rFonts w:ascii="Noto Sans CJK SC" w:hAnsi="Noto Sans CJK SC" w:eastAsia="Noto Sans CJK SC"/>
          <w:b/>
          <w:sz w:val="21"/>
        </w:rPr>
        <w:t xml:space="preserve">2.1 </w:t>
      </w:r>
      <w:r>
        <w:rPr>
          <w:rFonts w:ascii="Noto Sans CJK SC" w:hAnsi="Noto Sans CJK SC" w:eastAsia="Noto Sans CJK SC"/>
          <w:sz w:val="21"/>
        </w:rPr>
        <w:t>乙方委托甲方提供附件一所列服务。甲方应按照双方确认的服务时间窗口持续提供服务，并按附件二约定的SLA进行管理。</w:t>
      </w:r>
    </w:p>
    <w:p>
      <w:pPr>
        <w:spacing w:line="324" w:lineRule="auto" w:after="100"/>
        <w:ind w:left="0" w:firstLine="0"/>
      </w:pPr>
      <w:r>
        <w:rPr>
          <w:rFonts w:ascii="Noto Sans CJK SC" w:hAnsi="Noto Sans CJK SC" w:eastAsia="Noto Sans CJK SC"/>
          <w:b/>
          <w:sz w:val="21"/>
        </w:rPr>
        <w:t xml:space="preserve">2.2 </w:t>
      </w:r>
      <w:r>
        <w:rPr>
          <w:rFonts w:ascii="Noto Sans CJK SC" w:hAnsi="Noto Sans CJK SC" w:eastAsia="Noto Sans CJK SC"/>
          <w:sz w:val="21"/>
        </w:rPr>
        <w:t>本项目基础配置为18名全职服务人员，其中不少于6名在乙方办公场所驻场。乙方可根据业务量要求增减服务人员，增加人员按附件三单价计费；减少人员应至少提前30日通知。</w:t>
      </w:r>
    </w:p>
    <w:p>
      <w:pPr>
        <w:spacing w:line="324" w:lineRule="auto" w:after="100"/>
        <w:ind w:left="0" w:firstLine="0"/>
      </w:pPr>
      <w:r>
        <w:rPr>
          <w:rFonts w:ascii="Noto Sans CJK SC" w:hAnsi="Noto Sans CJK SC" w:eastAsia="Noto Sans CJK SC"/>
          <w:b/>
          <w:sz w:val="21"/>
        </w:rPr>
        <w:t xml:space="preserve">2.3 </w:t>
      </w:r>
      <w:r>
        <w:rPr>
          <w:rFonts w:ascii="Noto Sans CJK SC" w:hAnsi="Noto Sans CJK SC" w:eastAsia="Noto Sans CJK SC"/>
          <w:sz w:val="21"/>
        </w:rPr>
        <w:t>乙方可参与项目负责人、质检岗位及驻场服务人员的面谈确认，并可直接向驻场服务人员下达与当日业务相关的工作任务、确认班次安排和工作完成情况。甲方根据乙方反馈实施内部绩效、排班及人员调整。</w:t>
      </w:r>
    </w:p>
    <w:p>
      <w:pPr>
        <w:spacing w:line="324" w:lineRule="auto" w:after="100"/>
        <w:ind w:left="0" w:firstLine="0"/>
      </w:pPr>
      <w:r>
        <w:rPr>
          <w:rFonts w:ascii="Noto Sans CJK SC" w:hAnsi="Noto Sans CJK SC" w:eastAsia="Noto Sans CJK SC"/>
          <w:b/>
          <w:sz w:val="21"/>
        </w:rPr>
        <w:t xml:space="preserve">2.4 </w:t>
      </w:r>
      <w:r>
        <w:rPr>
          <w:rFonts w:ascii="Noto Sans CJK SC" w:hAnsi="Noto Sans CJK SC" w:eastAsia="Noto Sans CJK SC"/>
          <w:sz w:val="21"/>
        </w:rPr>
        <w:t>甲方负责与服务人员建立合法用工关系并支付工资、社会保险等依法应由甲方承担的费用。因乙方提出减少人员、要求人员退出项目或提前终止服务造成甲方产生人员安置、经济补偿、待岗等成本的，由乙方承担实际发生且有凭证的合理费用。</w:t>
      </w:r>
    </w:p>
    <w:p>
      <w:pPr>
        <w:spacing w:line="324" w:lineRule="auto" w:after="100"/>
        <w:ind w:left="0" w:firstLine="0"/>
      </w:pPr>
      <w:r>
        <w:rPr>
          <w:rFonts w:ascii="Noto Sans CJK SC" w:hAnsi="Noto Sans CJK SC" w:eastAsia="Noto Sans CJK SC"/>
          <w:b/>
          <w:sz w:val="21"/>
        </w:rPr>
        <w:t xml:space="preserve">2.5 </w:t>
      </w:r>
      <w:r>
        <w:rPr>
          <w:rFonts w:ascii="Noto Sans CJK SC" w:hAnsi="Noto Sans CJK SC" w:eastAsia="Noto Sans CJK SC"/>
          <w:sz w:val="21"/>
        </w:rPr>
        <w:t>乙方认为服务人员不符合项目要求的，应向甲方说明理由。甲方在5个工作日内核实并决定整改、培训或替换；无明确违法、安全或保密风险的，乙方不得直接要求甲方解除相关人员劳动关系。</w:t>
      </w:r>
    </w:p>
    <w:p>
      <w:pPr>
        <w:spacing w:line="324" w:lineRule="auto" w:after="100"/>
        <w:ind w:left="0" w:firstLine="0"/>
      </w:pPr>
      <w:r>
        <w:rPr>
          <w:rFonts w:ascii="Noto Sans CJK SC" w:hAnsi="Noto Sans CJK SC" w:eastAsia="Noto Sans CJK SC"/>
          <w:b/>
          <w:sz w:val="21"/>
        </w:rPr>
        <w:t xml:space="preserve">2.6 </w:t>
      </w:r>
      <w:r>
        <w:rPr>
          <w:rFonts w:ascii="Noto Sans CJK SC" w:hAnsi="Noto Sans CJK SC" w:eastAsia="Noto Sans CJK SC"/>
          <w:sz w:val="21"/>
        </w:rPr>
        <w:t>甲方可根据交付需要更换非关键服务人员；更换项目负责人或关键质检岗位应提前3个工作日通知乙方并保证能力不降低。</w:t>
      </w:r>
    </w:p>
    <w:p>
      <w:pPr>
        <w:pStyle w:val="Heading1"/>
        <w:keepNext/>
        <w:spacing w:before="200" w:after="100"/>
      </w:pPr>
      <w:r>
        <w:rPr>
          <w:rFonts w:ascii="Noto Sans CJK SC" w:hAnsi="Noto Sans CJK SC" w:eastAsia="Noto Sans CJK SC"/>
          <w:b/>
          <w:sz w:val="28"/>
        </w:rPr>
        <w:t>第三条 服务标准与服务信用</w:t>
      </w:r>
    </w:p>
    <w:p>
      <w:pPr>
        <w:spacing w:line="324" w:lineRule="auto" w:after="100"/>
        <w:ind w:left="0" w:firstLine="0"/>
      </w:pPr>
      <w:r>
        <w:rPr>
          <w:rFonts w:ascii="Noto Sans CJK SC" w:hAnsi="Noto Sans CJK SC" w:eastAsia="Noto Sans CJK SC"/>
          <w:b/>
          <w:sz w:val="21"/>
        </w:rPr>
        <w:t xml:space="preserve">3.1 </w:t>
      </w:r>
      <w:r>
        <w:rPr>
          <w:rFonts w:ascii="Noto Sans CJK SC" w:hAnsi="Noto Sans CJK SC" w:eastAsia="Noto Sans CJK SC"/>
          <w:sz w:val="21"/>
        </w:rPr>
        <w:t>双方按照附件二约定的指标对服务质量进行月度评价。甲方应持续改进服务流程，并就明显偏差提供整改计划。</w:t>
      </w:r>
    </w:p>
    <w:p>
      <w:pPr>
        <w:spacing w:line="324" w:lineRule="auto" w:after="100"/>
        <w:ind w:left="0" w:firstLine="0"/>
      </w:pPr>
      <w:r>
        <w:rPr>
          <w:rFonts w:ascii="Noto Sans CJK SC" w:hAnsi="Noto Sans CJK SC" w:eastAsia="Noto Sans CJK SC"/>
          <w:b/>
          <w:sz w:val="21"/>
        </w:rPr>
        <w:t xml:space="preserve">3.2 </w:t>
      </w:r>
      <w:r>
        <w:rPr>
          <w:rFonts w:ascii="Noto Sans CJK SC" w:hAnsi="Noto Sans CJK SC" w:eastAsia="Noto Sans CJK SC"/>
          <w:sz w:val="21"/>
        </w:rPr>
        <w:t>如甲方未达到SLA，乙方可获得附件二约定的服务信用（Service Credit）。同一自然月全部服务信用累计不超过当月固定服务费的5%。</w:t>
      </w:r>
    </w:p>
    <w:p>
      <w:pPr>
        <w:spacing w:line="324" w:lineRule="auto" w:after="100"/>
        <w:ind w:left="0" w:firstLine="0"/>
      </w:pPr>
      <w:r>
        <w:rPr>
          <w:rFonts w:ascii="Noto Sans CJK SC" w:hAnsi="Noto Sans CJK SC" w:eastAsia="Noto Sans CJK SC"/>
          <w:b/>
          <w:sz w:val="21"/>
        </w:rPr>
        <w:t xml:space="preserve">3.3 </w:t>
      </w:r>
      <w:r>
        <w:rPr>
          <w:rFonts w:ascii="Noto Sans CJK SC" w:hAnsi="Noto Sans CJK SC" w:eastAsia="Noto Sans CJK SC"/>
          <w:sz w:val="21"/>
        </w:rPr>
        <w:t>除因甲方欺诈、故意行为或造成重大数据安全事故外，附件二服务信用系乙方就SLA未达标可获得的唯一和排他性救济，不再重复适用其他扣款、违约金或损失赔偿。</w:t>
      </w:r>
    </w:p>
    <w:p>
      <w:pPr>
        <w:spacing w:line="324" w:lineRule="auto" w:after="100"/>
        <w:ind w:left="0" w:firstLine="0"/>
      </w:pPr>
      <w:r>
        <w:rPr>
          <w:rFonts w:ascii="Noto Sans CJK SC" w:hAnsi="Noto Sans CJK SC" w:eastAsia="Noto Sans CJK SC"/>
          <w:b/>
          <w:sz w:val="21"/>
        </w:rPr>
        <w:t xml:space="preserve">3.4 </w:t>
      </w:r>
      <w:r>
        <w:rPr>
          <w:rFonts w:ascii="Noto Sans CJK SC" w:hAnsi="Noto Sans CJK SC" w:eastAsia="Noto Sans CJK SC"/>
          <w:sz w:val="21"/>
        </w:rPr>
        <w:t>甲方不对因乙方系统故障、乙方提供信息错误、乙方临时业务指令、第三方物流或维修商原因造成的SLA偏差承担责任。</w:t>
      </w:r>
    </w:p>
    <w:p>
      <w:pPr>
        <w:pStyle w:val="Heading1"/>
        <w:keepNext/>
        <w:spacing w:before="200" w:after="100"/>
      </w:pPr>
      <w:r>
        <w:rPr>
          <w:rFonts w:ascii="Noto Sans CJK SC" w:hAnsi="Noto Sans CJK SC" w:eastAsia="Noto Sans CJK SC"/>
          <w:b/>
          <w:sz w:val="28"/>
        </w:rPr>
        <w:t>第四条 乙方配合义务</w:t>
      </w:r>
    </w:p>
    <w:p>
      <w:pPr>
        <w:spacing w:line="324" w:lineRule="auto" w:after="100"/>
        <w:ind w:left="0" w:firstLine="0"/>
      </w:pPr>
      <w:r>
        <w:rPr>
          <w:rFonts w:ascii="Noto Sans CJK SC" w:hAnsi="Noto Sans CJK SC" w:eastAsia="Noto Sans CJK SC"/>
          <w:b/>
          <w:sz w:val="21"/>
        </w:rPr>
        <w:t xml:space="preserve">4.1 </w:t>
      </w:r>
      <w:r>
        <w:rPr>
          <w:rFonts w:ascii="Noto Sans CJK SC" w:hAnsi="Noto Sans CJK SC" w:eastAsia="Noto Sans CJK SC"/>
          <w:sz w:val="21"/>
        </w:rPr>
        <w:t>乙方应及时提供产品资料、FAQ、售后规则、升级矩阵、培训内容及履约所需系统权限，并确保相关资料真实、完整、合法。</w:t>
      </w:r>
    </w:p>
    <w:p>
      <w:pPr>
        <w:spacing w:line="324" w:lineRule="auto" w:after="100"/>
        <w:ind w:left="0" w:firstLine="0"/>
      </w:pPr>
      <w:r>
        <w:rPr>
          <w:rFonts w:ascii="Noto Sans CJK SC" w:hAnsi="Noto Sans CJK SC" w:eastAsia="Noto Sans CJK SC"/>
          <w:b/>
          <w:sz w:val="21"/>
        </w:rPr>
        <w:t xml:space="preserve">4.2 </w:t>
      </w:r>
      <w:r>
        <w:rPr>
          <w:rFonts w:ascii="Noto Sans CJK SC" w:hAnsi="Noto Sans CJK SC" w:eastAsia="Noto Sans CJK SC"/>
          <w:sz w:val="21"/>
        </w:rPr>
        <w:t>乙方应提供6个驻场工位、受控终端、CRM及工单系统账号，并负责其系统的可用性和账号权限配置。因乙方系统或网络不可用导致服务中断的，不计入甲方SLA。</w:t>
      </w:r>
    </w:p>
    <w:p>
      <w:pPr>
        <w:spacing w:line="324" w:lineRule="auto" w:after="100"/>
        <w:ind w:left="0" w:firstLine="0"/>
      </w:pPr>
      <w:r>
        <w:rPr>
          <w:rFonts w:ascii="Noto Sans CJK SC" w:hAnsi="Noto Sans CJK SC" w:eastAsia="Noto Sans CJK SC"/>
          <w:b/>
          <w:sz w:val="21"/>
        </w:rPr>
        <w:t xml:space="preserve">4.3 </w:t>
      </w:r>
      <w:r>
        <w:rPr>
          <w:rFonts w:ascii="Noto Sans CJK SC" w:hAnsi="Noto Sans CJK SC" w:eastAsia="Noto Sans CJK SC"/>
          <w:sz w:val="21"/>
        </w:rPr>
        <w:t>乙方应为驻场服务人员提供业务培训、系统操作培训及必要的日常业务更新。涉及产品策略或赔偿权限的最终决定由乙方作出。</w:t>
      </w:r>
    </w:p>
    <w:p>
      <w:pPr>
        <w:spacing w:line="324" w:lineRule="auto" w:after="100"/>
        <w:ind w:left="0" w:firstLine="0"/>
      </w:pPr>
      <w:r>
        <w:rPr>
          <w:rFonts w:ascii="Noto Sans CJK SC" w:hAnsi="Noto Sans CJK SC" w:eastAsia="Noto Sans CJK SC"/>
          <w:b/>
          <w:sz w:val="21"/>
        </w:rPr>
        <w:t xml:space="preserve">4.4 </w:t>
      </w:r>
      <w:r>
        <w:rPr>
          <w:rFonts w:ascii="Noto Sans CJK SC" w:hAnsi="Noto Sans CJK SC" w:eastAsia="Noto Sans CJK SC"/>
          <w:sz w:val="21"/>
        </w:rPr>
        <w:t>乙方保证其向甲方提供的数据、客户资料、产品信息、话术和业务指令具有合法来源及必要授权，并对因乙方资料或业务指令侵害第三方权益产生的索赔承担责任。</w:t>
      </w:r>
    </w:p>
    <w:p>
      <w:pPr>
        <w:pStyle w:val="Heading1"/>
        <w:keepNext/>
        <w:spacing w:before="200" w:after="100"/>
      </w:pPr>
      <w:r>
        <w:rPr>
          <w:rFonts w:ascii="Noto Sans CJK SC" w:hAnsi="Noto Sans CJK SC" w:eastAsia="Noto Sans CJK SC"/>
          <w:b/>
          <w:sz w:val="28"/>
        </w:rPr>
        <w:t>第五条 费用、税费与付款</w:t>
      </w:r>
    </w:p>
    <w:p>
      <w:pPr>
        <w:spacing w:line="324" w:lineRule="auto" w:after="100"/>
        <w:ind w:left="0" w:firstLine="0"/>
      </w:pPr>
      <w:r>
        <w:rPr>
          <w:rFonts w:ascii="Noto Sans CJK SC" w:hAnsi="Noto Sans CJK SC" w:eastAsia="Noto Sans CJK SC"/>
          <w:b/>
          <w:sz w:val="21"/>
        </w:rPr>
        <w:t xml:space="preserve">5.1 </w:t>
      </w:r>
      <w:r>
        <w:rPr>
          <w:rFonts w:ascii="Noto Sans CJK SC" w:hAnsi="Noto Sans CJK SC" w:eastAsia="Noto Sans CJK SC"/>
          <w:sz w:val="21"/>
        </w:rPr>
        <w:t>基础服务费为人民币285,000元/月（不含增值税），对应18名基础服务人员及附件一约定服务范围。超出基础配置的人员按15,800元/人/月（不含税）计费，不足整月按实际出勤工作日折算。</w:t>
      </w:r>
    </w:p>
    <w:p>
      <w:pPr>
        <w:spacing w:line="324" w:lineRule="auto" w:after="100"/>
        <w:ind w:left="0" w:firstLine="0"/>
      </w:pPr>
      <w:r>
        <w:rPr>
          <w:rFonts w:ascii="Noto Sans CJK SC" w:hAnsi="Noto Sans CJK SC" w:eastAsia="Noto Sans CJK SC"/>
          <w:b/>
          <w:sz w:val="21"/>
        </w:rPr>
        <w:t xml:space="preserve">5.2 </w:t>
      </w:r>
      <w:r>
        <w:rPr>
          <w:rFonts w:ascii="Noto Sans CJK SC" w:hAnsi="Noto Sans CJK SC" w:eastAsia="Noto Sans CJK SC"/>
          <w:sz w:val="21"/>
        </w:rPr>
        <w:t>甲方有权根据人工成本、最低工资、社会保险、税费或运营成本的显著变化，于每个合同年度开始前30日通知乙方调整下一年度单价，年度调整幅度不超过8%；乙方继续接受服务即视为同意调整。</w:t>
      </w:r>
    </w:p>
    <w:p>
      <w:pPr>
        <w:spacing w:line="324" w:lineRule="auto" w:after="100"/>
        <w:ind w:left="0" w:firstLine="0"/>
      </w:pPr>
      <w:r>
        <w:rPr>
          <w:rFonts w:ascii="Noto Sans CJK SC" w:hAnsi="Noto Sans CJK SC" w:eastAsia="Noto Sans CJK SC"/>
          <w:b/>
          <w:sz w:val="21"/>
        </w:rPr>
        <w:t xml:space="preserve">5.3 </w:t>
      </w:r>
      <w:r>
        <w:rPr>
          <w:rFonts w:ascii="Noto Sans CJK SC" w:hAnsi="Noto Sans CJK SC" w:eastAsia="Noto Sans CJK SC"/>
          <w:sz w:val="21"/>
        </w:rPr>
        <w:t>所有价款均为不含税价格。乙方应在不含税价款之外承担适用增值税及附加税费；如税率变化，含税应付金额相应变化。</w:t>
      </w:r>
    </w:p>
    <w:p>
      <w:pPr>
        <w:spacing w:line="324" w:lineRule="auto" w:after="100"/>
        <w:ind w:left="0" w:firstLine="0"/>
      </w:pPr>
      <w:r>
        <w:rPr>
          <w:rFonts w:ascii="Noto Sans CJK SC" w:hAnsi="Noto Sans CJK SC" w:eastAsia="Noto Sans CJK SC"/>
          <w:b/>
          <w:sz w:val="21"/>
        </w:rPr>
        <w:t xml:space="preserve">5.4 </w:t>
      </w:r>
      <w:r>
        <w:rPr>
          <w:rFonts w:ascii="Noto Sans CJK SC" w:hAnsi="Noto Sans CJK SC" w:eastAsia="Noto Sans CJK SC"/>
          <w:sz w:val="21"/>
        </w:rPr>
        <w:t>甲方按月开票。乙方应在收到合法发票后10日内付款。未经甲方书面同意，乙方不得以其他争议、索赔或反请求为由抵扣应付服务费。</w:t>
      </w:r>
    </w:p>
    <w:p>
      <w:pPr>
        <w:spacing w:line="324" w:lineRule="auto" w:after="100"/>
        <w:ind w:left="0" w:firstLine="0"/>
      </w:pPr>
      <w:r>
        <w:rPr>
          <w:rFonts w:ascii="Noto Sans CJK SC" w:hAnsi="Noto Sans CJK SC" w:eastAsia="Noto Sans CJK SC"/>
          <w:b/>
          <w:sz w:val="21"/>
        </w:rPr>
        <w:t xml:space="preserve">5.5 </w:t>
      </w:r>
      <w:r>
        <w:rPr>
          <w:rFonts w:ascii="Noto Sans CJK SC" w:hAnsi="Noto Sans CJK SC" w:eastAsia="Noto Sans CJK SC"/>
          <w:sz w:val="21"/>
        </w:rPr>
        <w:t>乙方逾期付款的，每逾期一日按应付未付金额0.05%支付违约金。逾期超过7个自然日的，甲方有权暂停新增工单处理、报告交付或部分非紧急服务；逾期超过15个自然日的，甲方有权解除协议。</w:t>
      </w:r>
    </w:p>
    <w:p>
      <w:pPr>
        <w:pStyle w:val="Heading1"/>
        <w:keepNext/>
        <w:spacing w:before="200" w:after="100"/>
      </w:pPr>
      <w:r>
        <w:rPr>
          <w:rFonts w:ascii="Noto Sans CJK SC" w:hAnsi="Noto Sans CJK SC" w:eastAsia="Noto Sans CJK SC"/>
          <w:b/>
          <w:sz w:val="28"/>
        </w:rPr>
        <w:t>第六条 交付、验收与结算</w:t>
      </w:r>
    </w:p>
    <w:p>
      <w:pPr>
        <w:spacing w:line="324" w:lineRule="auto" w:after="100"/>
        <w:ind w:left="0" w:firstLine="0"/>
      </w:pPr>
      <w:r>
        <w:rPr>
          <w:rFonts w:ascii="Noto Sans CJK SC" w:hAnsi="Noto Sans CJK SC" w:eastAsia="Noto Sans CJK SC"/>
          <w:b/>
          <w:sz w:val="21"/>
        </w:rPr>
        <w:t xml:space="preserve">6.1 </w:t>
      </w:r>
      <w:r>
        <w:rPr>
          <w:rFonts w:ascii="Noto Sans CJK SC" w:hAnsi="Noto Sans CJK SC" w:eastAsia="Noto Sans CJK SC"/>
          <w:sz w:val="21"/>
        </w:rPr>
        <w:t>甲方于每月结束后5个工作日内提交月度服务报告及当月结算单。乙方应在收到后5个工作日内提出具体书面异议。</w:t>
      </w:r>
    </w:p>
    <w:p>
      <w:pPr>
        <w:spacing w:line="324" w:lineRule="auto" w:after="100"/>
        <w:ind w:left="0" w:firstLine="0"/>
      </w:pPr>
      <w:r>
        <w:rPr>
          <w:rFonts w:ascii="Noto Sans CJK SC" w:hAnsi="Noto Sans CJK SC" w:eastAsia="Noto Sans CJK SC"/>
          <w:b/>
          <w:sz w:val="21"/>
        </w:rPr>
        <w:t xml:space="preserve">6.2 </w:t>
      </w:r>
      <w:r>
        <w:rPr>
          <w:rFonts w:ascii="Noto Sans CJK SC" w:hAnsi="Noto Sans CJK SC" w:eastAsia="Noto Sans CJK SC"/>
          <w:sz w:val="21"/>
        </w:rPr>
        <w:t>乙方在前款期限内未提出书面异议的，视为当月服务及结算单已经验收确认；乙方实际使用、对外采用或据以开展后续业务的服务成果，也视为对该成果的验收。</w:t>
      </w:r>
    </w:p>
    <w:p>
      <w:pPr>
        <w:spacing w:line="324" w:lineRule="auto" w:after="100"/>
        <w:ind w:left="0" w:firstLine="0"/>
      </w:pPr>
      <w:r>
        <w:rPr>
          <w:rFonts w:ascii="Noto Sans CJK SC" w:hAnsi="Noto Sans CJK SC" w:eastAsia="Noto Sans CJK SC"/>
          <w:b/>
          <w:sz w:val="21"/>
        </w:rPr>
        <w:t xml:space="preserve">6.3 </w:t>
      </w:r>
      <w:r>
        <w:rPr>
          <w:rFonts w:ascii="Noto Sans CJK SC" w:hAnsi="Noto Sans CJK SC" w:eastAsia="Noto Sans CJK SC"/>
          <w:sz w:val="21"/>
        </w:rPr>
        <w:t>经双方确认属于甲方责任的可整改问题，甲方应在合理期限内免费整改。乙方在验收后30日内未提出的非重大问题，视为乙方放弃相关质量异议。</w:t>
      </w:r>
    </w:p>
    <w:p>
      <w:pPr>
        <w:spacing w:line="324" w:lineRule="auto" w:after="100"/>
        <w:ind w:left="0" w:firstLine="0"/>
      </w:pPr>
      <w:r>
        <w:rPr>
          <w:rFonts w:ascii="Noto Sans CJK SC" w:hAnsi="Noto Sans CJK SC" w:eastAsia="Noto Sans CJK SC"/>
          <w:b/>
          <w:sz w:val="21"/>
        </w:rPr>
        <w:t xml:space="preserve">6.4 </w:t>
      </w:r>
      <w:r>
        <w:rPr>
          <w:rFonts w:ascii="Noto Sans CJK SC" w:hAnsi="Noto Sans CJK SC" w:eastAsia="Noto Sans CJK SC"/>
          <w:sz w:val="21"/>
        </w:rPr>
        <w:t>服务数据以甲方项目系统与双方确认的月度报表为结算依据；如双方系统数据存在不一致，以甲方经合理核验后的后台统计为准。</w:t>
      </w:r>
    </w:p>
    <w:p>
      <w:pPr>
        <w:pStyle w:val="Heading1"/>
        <w:keepNext/>
        <w:spacing w:before="200" w:after="100"/>
      </w:pPr>
      <w:r>
        <w:rPr>
          <w:rFonts w:ascii="Noto Sans CJK SC" w:hAnsi="Noto Sans CJK SC" w:eastAsia="Noto Sans CJK SC"/>
          <w:b/>
          <w:sz w:val="28"/>
        </w:rPr>
        <w:t>第七条 服务变更</w:t>
      </w:r>
    </w:p>
    <w:p>
      <w:pPr>
        <w:spacing w:line="324" w:lineRule="auto" w:after="100"/>
        <w:ind w:left="0" w:firstLine="0"/>
      </w:pPr>
      <w:r>
        <w:rPr>
          <w:rFonts w:ascii="Noto Sans CJK SC" w:hAnsi="Noto Sans CJK SC" w:eastAsia="Noto Sans CJK SC"/>
          <w:b/>
          <w:sz w:val="21"/>
        </w:rPr>
        <w:t xml:space="preserve">7.1 </w:t>
      </w:r>
      <w:r>
        <w:rPr>
          <w:rFonts w:ascii="Noto Sans CJK SC" w:hAnsi="Noto Sans CJK SC" w:eastAsia="Noto Sans CJK SC"/>
          <w:sz w:val="21"/>
        </w:rPr>
        <w:t>项目负责人有权通过电子邮件确认月度业务量、排班、驻场人数、人员增减、临时支持及附件三已列明单价项目的费用调整，该等确认对双方具有约束力。</w:t>
      </w:r>
    </w:p>
    <w:p>
      <w:pPr>
        <w:spacing w:line="324" w:lineRule="auto" w:after="100"/>
        <w:ind w:left="0" w:firstLine="0"/>
      </w:pPr>
      <w:r>
        <w:rPr>
          <w:rFonts w:ascii="Noto Sans CJK SC" w:hAnsi="Noto Sans CJK SC" w:eastAsia="Noto Sans CJK SC"/>
          <w:b/>
          <w:sz w:val="21"/>
        </w:rPr>
        <w:t xml:space="preserve">7.2 </w:t>
      </w:r>
      <w:r>
        <w:rPr>
          <w:rFonts w:ascii="Noto Sans CJK SC" w:hAnsi="Noto Sans CJK SC" w:eastAsia="Noto Sans CJK SC"/>
          <w:sz w:val="21"/>
        </w:rPr>
        <w:t>新增服务模块、核心SLA变更或超过年度合同金额15%的变更，应由双方有权代表签署书面变更单。</w:t>
      </w:r>
    </w:p>
    <w:p>
      <w:pPr>
        <w:spacing w:line="324" w:lineRule="auto" w:after="100"/>
        <w:ind w:left="0" w:firstLine="0"/>
      </w:pPr>
      <w:r>
        <w:rPr>
          <w:rFonts w:ascii="Noto Sans CJK SC" w:hAnsi="Noto Sans CJK SC" w:eastAsia="Noto Sans CJK SC"/>
          <w:b/>
          <w:sz w:val="21"/>
        </w:rPr>
        <w:t xml:space="preserve">7.3 </w:t>
      </w:r>
      <w:r>
        <w:rPr>
          <w:rFonts w:ascii="Noto Sans CJK SC" w:hAnsi="Noto Sans CJK SC" w:eastAsia="Noto Sans CJK SC"/>
          <w:sz w:val="21"/>
        </w:rPr>
        <w:t>乙方要求临时增加工作且甲方已经实际提供的，即使双方未提前签署变更文件，乙方仍应按照甲方届时标准报价支付合理服务费用。</w:t>
      </w:r>
    </w:p>
    <w:p>
      <w:pPr>
        <w:pStyle w:val="Heading1"/>
        <w:keepNext/>
        <w:spacing w:before="200" w:after="100"/>
      </w:pPr>
      <w:r>
        <w:rPr>
          <w:rFonts w:ascii="Noto Sans CJK SC" w:hAnsi="Noto Sans CJK SC" w:eastAsia="Noto Sans CJK SC"/>
          <w:b/>
          <w:sz w:val="28"/>
        </w:rPr>
        <w:t>第八条 分包与第三方资源</w:t>
      </w:r>
    </w:p>
    <w:p>
      <w:pPr>
        <w:spacing w:line="324" w:lineRule="auto" w:after="100"/>
        <w:ind w:left="0" w:firstLine="0"/>
      </w:pPr>
      <w:r>
        <w:rPr>
          <w:rFonts w:ascii="Noto Sans CJK SC" w:hAnsi="Noto Sans CJK SC" w:eastAsia="Noto Sans CJK SC"/>
          <w:b/>
          <w:sz w:val="21"/>
        </w:rPr>
        <w:t xml:space="preserve">8.1 </w:t>
      </w:r>
      <w:r>
        <w:rPr>
          <w:rFonts w:ascii="Noto Sans CJK SC" w:hAnsi="Noto Sans CJK SC" w:eastAsia="Noto Sans CJK SC"/>
          <w:sz w:val="21"/>
        </w:rPr>
        <w:t>甲方可将部分服务交由其关联公司、固定合作服务商、云计算服务商、通信服务商或技术工具提供商实施，无需乙方逐项审批，但甲方应对其选择的第三方进行合理管理，并对业务分包商的履约向乙方承担责任。</w:t>
      </w:r>
    </w:p>
    <w:p>
      <w:pPr>
        <w:spacing w:line="324" w:lineRule="auto" w:after="100"/>
        <w:ind w:left="0" w:firstLine="0"/>
      </w:pPr>
      <w:r>
        <w:rPr>
          <w:rFonts w:ascii="Noto Sans CJK SC" w:hAnsi="Noto Sans CJK SC" w:eastAsia="Noto Sans CJK SC"/>
          <w:b/>
          <w:sz w:val="21"/>
        </w:rPr>
        <w:t xml:space="preserve">8.2 </w:t>
      </w:r>
      <w:r>
        <w:rPr>
          <w:rFonts w:ascii="Noto Sans CJK SC" w:hAnsi="Noto Sans CJK SC" w:eastAsia="Noto Sans CJK SC"/>
          <w:sz w:val="21"/>
        </w:rPr>
        <w:t>涉及将主要客户沟通业务整体转包给非关联第三方的，甲方应提前通知乙方；乙方有合理安全或合规理由的，可在5个工作日内提出异议。</w:t>
      </w:r>
    </w:p>
    <w:p>
      <w:pPr>
        <w:pStyle w:val="Heading1"/>
        <w:keepNext/>
        <w:spacing w:before="200" w:after="100"/>
      </w:pPr>
      <w:r>
        <w:rPr>
          <w:rFonts w:ascii="Noto Sans CJK SC" w:hAnsi="Noto Sans CJK SC" w:eastAsia="Noto Sans CJK SC"/>
          <w:b/>
          <w:sz w:val="28"/>
        </w:rPr>
        <w:t>第九条 数据、个人信息与信息安全</w:t>
      </w:r>
    </w:p>
    <w:p>
      <w:pPr>
        <w:spacing w:line="324" w:lineRule="auto" w:after="100"/>
        <w:ind w:left="0" w:firstLine="0"/>
      </w:pPr>
      <w:r>
        <w:rPr>
          <w:rFonts w:ascii="Noto Sans CJK SC" w:hAnsi="Noto Sans CJK SC" w:eastAsia="Noto Sans CJK SC"/>
          <w:b/>
          <w:sz w:val="21"/>
        </w:rPr>
        <w:t xml:space="preserve">9.1 </w:t>
      </w:r>
      <w:r>
        <w:rPr>
          <w:rFonts w:ascii="Noto Sans CJK SC" w:hAnsi="Noto Sans CJK SC" w:eastAsia="Noto Sans CJK SC"/>
          <w:sz w:val="21"/>
        </w:rPr>
        <w:t>乙方授权甲方为提供服务之目的处理客户姓名、手机号、收货地址、设备序列号、售后工单内容、回访记录等业务数据及个人信息。乙方负责确定处理目的并保证具有合法处理基础。</w:t>
      </w:r>
    </w:p>
    <w:p>
      <w:pPr>
        <w:spacing w:line="324" w:lineRule="auto" w:after="100"/>
        <w:ind w:left="0" w:firstLine="0"/>
      </w:pPr>
      <w:r>
        <w:rPr>
          <w:rFonts w:ascii="Noto Sans CJK SC" w:hAnsi="Noto Sans CJK SC" w:eastAsia="Noto Sans CJK SC"/>
          <w:b/>
          <w:sz w:val="21"/>
        </w:rPr>
        <w:t xml:space="preserve">9.2 </w:t>
      </w:r>
      <w:r>
        <w:rPr>
          <w:rFonts w:ascii="Noto Sans CJK SC" w:hAnsi="Noto Sans CJK SC" w:eastAsia="Noto Sans CJK SC"/>
          <w:sz w:val="21"/>
        </w:rPr>
        <w:t>甲方应采取与服务性质相适应的账号、权限、访问控制、日志、终端及人员保密措施。发生可能影响乙方数据的安全事件时，甲方应在知悉后48小时内通知乙方并提供合理协助。</w:t>
      </w:r>
    </w:p>
    <w:p>
      <w:pPr>
        <w:spacing w:line="324" w:lineRule="auto" w:after="100"/>
        <w:ind w:left="0" w:firstLine="0"/>
      </w:pPr>
      <w:r>
        <w:rPr>
          <w:rFonts w:ascii="Noto Sans CJK SC" w:hAnsi="Noto Sans CJK SC" w:eastAsia="Noto Sans CJK SC"/>
          <w:b/>
          <w:sz w:val="21"/>
        </w:rPr>
        <w:t xml:space="preserve">9.3 </w:t>
      </w:r>
      <w:r>
        <w:rPr>
          <w:rFonts w:ascii="Noto Sans CJK SC" w:hAnsi="Noto Sans CJK SC" w:eastAsia="Noto Sans CJK SC"/>
          <w:sz w:val="21"/>
        </w:rPr>
        <w:t>甲方可以使用经合理去标识化、匿名化或汇总后的业务数据进行服务分析、质量评估、模型训练、算法优化及产品改进，但不得据此直接识别乙方客户个人。</w:t>
      </w:r>
    </w:p>
    <w:p>
      <w:pPr>
        <w:spacing w:line="324" w:lineRule="auto" w:after="100"/>
        <w:ind w:left="0" w:firstLine="0"/>
      </w:pPr>
      <w:r>
        <w:rPr>
          <w:rFonts w:ascii="Noto Sans CJK SC" w:hAnsi="Noto Sans CJK SC" w:eastAsia="Noto Sans CJK SC"/>
          <w:b/>
          <w:sz w:val="21"/>
        </w:rPr>
        <w:t xml:space="preserve">9.4 </w:t>
      </w:r>
      <w:r>
        <w:rPr>
          <w:rFonts w:ascii="Noto Sans CJK SC" w:hAnsi="Noto Sans CJK SC" w:eastAsia="Noto Sans CJK SC"/>
          <w:sz w:val="21"/>
        </w:rPr>
        <w:t>为提供服务，甲方可使用其关联公司、云基础设施、自动化工具及人工智能服务商处理相关数据，但应要求相关第三方承担与其角色相适应的保密和安全义务。</w:t>
      </w:r>
    </w:p>
    <w:p>
      <w:pPr>
        <w:spacing w:line="324" w:lineRule="auto" w:after="100"/>
        <w:ind w:left="0" w:firstLine="0"/>
      </w:pPr>
      <w:r>
        <w:rPr>
          <w:rFonts w:ascii="Noto Sans CJK SC" w:hAnsi="Noto Sans CJK SC" w:eastAsia="Noto Sans CJK SC"/>
          <w:b/>
          <w:sz w:val="21"/>
        </w:rPr>
        <w:t xml:space="preserve">9.5 </w:t>
      </w:r>
      <w:r>
        <w:rPr>
          <w:rFonts w:ascii="Noto Sans CJK SC" w:hAnsi="Noto Sans CJK SC" w:eastAsia="Noto Sans CJK SC"/>
          <w:sz w:val="21"/>
        </w:rPr>
        <w:t>本协议终止后，甲方在60日内删除或返还乙方业务数据；因备份、审计、争议处理或法律义务需要保留的副本可在必要期间继续保存。</w:t>
      </w:r>
    </w:p>
    <w:p>
      <w:pPr>
        <w:spacing w:line="324" w:lineRule="auto" w:after="100"/>
        <w:ind w:left="0" w:firstLine="0"/>
      </w:pPr>
      <w:r>
        <w:rPr>
          <w:rFonts w:ascii="Noto Sans CJK SC" w:hAnsi="Noto Sans CJK SC" w:eastAsia="Noto Sans CJK SC"/>
          <w:b/>
          <w:sz w:val="21"/>
        </w:rPr>
        <w:t xml:space="preserve">9.6 </w:t>
      </w:r>
      <w:r>
        <w:rPr>
          <w:rFonts w:ascii="Noto Sans CJK SC" w:hAnsi="Noto Sans CJK SC" w:eastAsia="Noto Sans CJK SC"/>
          <w:sz w:val="21"/>
        </w:rPr>
        <w:t>乙方如需对甲方信息安全措施实施审计，应提前15个工作日通知，每个合同年度不超过一次，并应避免接触甲方其他客户数据或甲方商业秘密。监管调查或已发生重大安全事件的除外。</w:t>
      </w:r>
    </w:p>
    <w:p>
      <w:pPr>
        <w:pStyle w:val="Heading1"/>
        <w:keepNext/>
        <w:spacing w:before="200" w:after="100"/>
      </w:pPr>
      <w:r>
        <w:rPr>
          <w:rFonts w:ascii="Noto Sans CJK SC" w:hAnsi="Noto Sans CJK SC" w:eastAsia="Noto Sans CJK SC"/>
          <w:b/>
          <w:sz w:val="28"/>
        </w:rPr>
        <w:t>第十条 知识产权</w:t>
      </w:r>
    </w:p>
    <w:p>
      <w:pPr>
        <w:spacing w:line="324" w:lineRule="auto" w:after="100"/>
        <w:ind w:left="0" w:firstLine="0"/>
      </w:pPr>
      <w:r>
        <w:rPr>
          <w:rFonts w:ascii="Noto Sans CJK SC" w:hAnsi="Noto Sans CJK SC" w:eastAsia="Noto Sans CJK SC"/>
          <w:b/>
          <w:sz w:val="21"/>
        </w:rPr>
        <w:t xml:space="preserve">10.1 </w:t>
      </w:r>
      <w:r>
        <w:rPr>
          <w:rFonts w:ascii="Noto Sans CJK SC" w:hAnsi="Noto Sans CJK SC" w:eastAsia="Noto Sans CJK SC"/>
          <w:sz w:val="21"/>
        </w:rPr>
        <w:t>双方各自在本协议签署前拥有的商标、软件、系统、方法论、模板、数据和其他知识产权仍归原权利人所有。</w:t>
      </w:r>
    </w:p>
    <w:p>
      <w:pPr>
        <w:spacing w:line="324" w:lineRule="auto" w:after="100"/>
        <w:ind w:left="0" w:firstLine="0"/>
      </w:pPr>
      <w:r>
        <w:rPr>
          <w:rFonts w:ascii="Noto Sans CJK SC" w:hAnsi="Noto Sans CJK SC" w:eastAsia="Noto Sans CJK SC"/>
          <w:b/>
          <w:sz w:val="21"/>
        </w:rPr>
        <w:t xml:space="preserve">10.2 </w:t>
      </w:r>
      <w:r>
        <w:rPr>
          <w:rFonts w:ascii="Noto Sans CJK SC" w:hAnsi="Noto Sans CJK SC" w:eastAsia="Noto Sans CJK SC"/>
          <w:sz w:val="21"/>
        </w:rPr>
        <w:t>甲方在履行服务过程中形成的服务流程、分析框架、质检方法、培训材料、话术模板、自动化脚本、报表模型、知识库结构及其改进，均由甲方所有。</w:t>
      </w:r>
    </w:p>
    <w:p>
      <w:pPr>
        <w:spacing w:line="324" w:lineRule="auto" w:after="100"/>
        <w:ind w:left="0" w:firstLine="0"/>
      </w:pPr>
      <w:r>
        <w:rPr>
          <w:rFonts w:ascii="Noto Sans CJK SC" w:hAnsi="Noto Sans CJK SC" w:eastAsia="Noto Sans CJK SC"/>
          <w:b/>
          <w:sz w:val="21"/>
        </w:rPr>
        <w:t xml:space="preserve">10.3 </w:t>
      </w:r>
      <w:r>
        <w:rPr>
          <w:rFonts w:ascii="Noto Sans CJK SC" w:hAnsi="Noto Sans CJK SC" w:eastAsia="Noto Sans CJK SC"/>
          <w:sz w:val="21"/>
        </w:rPr>
        <w:t>乙方在足额支付相应费用后，获得对项目服务成果的永久、非独占、免许可费、仅限乙方及其关联公司内部业务目的的使用权；未经甲方书面同意，乙方不得向第三方转让、许可或商业化甲方方法论及通用工具。</w:t>
      </w:r>
    </w:p>
    <w:p>
      <w:pPr>
        <w:spacing w:line="324" w:lineRule="auto" w:after="100"/>
        <w:ind w:left="0" w:firstLine="0"/>
      </w:pPr>
      <w:r>
        <w:rPr>
          <w:rFonts w:ascii="Noto Sans CJK SC" w:hAnsi="Noto Sans CJK SC" w:eastAsia="Noto Sans CJK SC"/>
          <w:b/>
          <w:sz w:val="21"/>
        </w:rPr>
        <w:t xml:space="preserve">10.4 </w:t>
      </w:r>
      <w:r>
        <w:rPr>
          <w:rFonts w:ascii="Noto Sans CJK SC" w:hAnsi="Noto Sans CJK SC" w:eastAsia="Noto Sans CJK SC"/>
          <w:sz w:val="21"/>
        </w:rPr>
        <w:t>如第三方主张甲方自行开发且未经乙方修改的服务成果侵犯其知识产权，乙方应在收到主张后5个工作日内通知甲方并允许甲方控制抗辩。甲方可选择取得授权、替换或修改相关成果。</w:t>
      </w:r>
    </w:p>
    <w:p>
      <w:pPr>
        <w:pStyle w:val="Heading1"/>
        <w:keepNext/>
        <w:spacing w:before="200" w:after="100"/>
      </w:pPr>
      <w:r>
        <w:rPr>
          <w:rFonts w:ascii="Noto Sans CJK SC" w:hAnsi="Noto Sans CJK SC" w:eastAsia="Noto Sans CJK SC"/>
          <w:b/>
          <w:sz w:val="28"/>
        </w:rPr>
        <w:t>第十一条 保密与客户案例</w:t>
      </w:r>
    </w:p>
    <w:p>
      <w:pPr>
        <w:spacing w:line="324" w:lineRule="auto" w:after="100"/>
        <w:ind w:left="0" w:firstLine="0"/>
      </w:pPr>
      <w:r>
        <w:rPr>
          <w:rFonts w:ascii="Noto Sans CJK SC" w:hAnsi="Noto Sans CJK SC" w:eastAsia="Noto Sans CJK SC"/>
          <w:b/>
          <w:sz w:val="21"/>
        </w:rPr>
        <w:t xml:space="preserve">11.1 </w:t>
      </w:r>
      <w:r>
        <w:rPr>
          <w:rFonts w:ascii="Noto Sans CJK SC" w:hAnsi="Noto Sans CJK SC" w:eastAsia="Noto Sans CJK SC"/>
          <w:sz w:val="21"/>
        </w:rPr>
        <w:t>双方对因本协议获悉的未公开商业、技术、客户、价格、人员和运营信息承担保密义务，仅可为履行本协议使用。</w:t>
      </w:r>
    </w:p>
    <w:p>
      <w:pPr>
        <w:spacing w:line="324" w:lineRule="auto" w:after="100"/>
        <w:ind w:left="0" w:firstLine="0"/>
      </w:pPr>
      <w:r>
        <w:rPr>
          <w:rFonts w:ascii="Noto Sans CJK SC" w:hAnsi="Noto Sans CJK SC" w:eastAsia="Noto Sans CJK SC"/>
          <w:b/>
          <w:sz w:val="21"/>
        </w:rPr>
        <w:t xml:space="preserve">11.2 </w:t>
      </w:r>
      <w:r>
        <w:rPr>
          <w:rFonts w:ascii="Noto Sans CJK SC" w:hAnsi="Noto Sans CJK SC" w:eastAsia="Noto Sans CJK SC"/>
          <w:sz w:val="21"/>
        </w:rPr>
        <w:t>除商业秘密外，一般保密义务自信息披露之日起持续2年。法律要求披露的，一方应在允许范围内提前通知另一方。</w:t>
      </w:r>
    </w:p>
    <w:p>
      <w:pPr>
        <w:spacing w:line="324" w:lineRule="auto" w:after="100"/>
        <w:ind w:left="0" w:firstLine="0"/>
      </w:pPr>
      <w:r>
        <w:rPr>
          <w:rFonts w:ascii="Noto Sans CJK SC" w:hAnsi="Noto Sans CJK SC" w:eastAsia="Noto Sans CJK SC"/>
          <w:b/>
          <w:sz w:val="21"/>
        </w:rPr>
        <w:t xml:space="preserve">11.3 </w:t>
      </w:r>
      <w:r>
        <w:rPr>
          <w:rFonts w:ascii="Noto Sans CJK SC" w:hAnsi="Noto Sans CJK SC" w:eastAsia="Noto Sans CJK SC"/>
          <w:sz w:val="21"/>
        </w:rPr>
        <w:t>在不披露乙方非公开业务数据、服务价格及商业秘密的前提下，甲方可在客户名单、投标文件和公司介绍中使用乙方名称及商标说明双方存在合作关系；乙方如不同意，应提前书面通知甲方停止新增使用。</w:t>
      </w:r>
    </w:p>
    <w:p>
      <w:pPr>
        <w:spacing w:line="324" w:lineRule="auto" w:after="100"/>
        <w:ind w:left="0" w:firstLine="0"/>
      </w:pPr>
      <w:r>
        <w:rPr>
          <w:rFonts w:ascii="Noto Sans CJK SC" w:hAnsi="Noto Sans CJK SC" w:eastAsia="Noto Sans CJK SC"/>
          <w:b/>
          <w:sz w:val="21"/>
        </w:rPr>
        <w:t xml:space="preserve">11.4 </w:t>
      </w:r>
      <w:r>
        <w:rPr>
          <w:rFonts w:ascii="Noto Sans CJK SC" w:hAnsi="Noto Sans CJK SC" w:eastAsia="Noto Sans CJK SC"/>
          <w:sz w:val="21"/>
        </w:rPr>
        <w:t>违反保密义务的一方应赔偿对方经证明的直接损失，且适用第十五条责任限制。</w:t>
      </w:r>
    </w:p>
    <w:p>
      <w:pPr>
        <w:pStyle w:val="Heading1"/>
        <w:keepNext/>
        <w:spacing w:before="200" w:after="100"/>
      </w:pPr>
      <w:r>
        <w:rPr>
          <w:rFonts w:ascii="Noto Sans CJK SC" w:hAnsi="Noto Sans CJK SC" w:eastAsia="Noto Sans CJK SC"/>
          <w:b/>
          <w:sz w:val="28"/>
        </w:rPr>
        <w:t>第十二条 用工、现场与安全</w:t>
      </w:r>
    </w:p>
    <w:p>
      <w:pPr>
        <w:spacing w:line="324" w:lineRule="auto" w:after="100"/>
        <w:ind w:left="0" w:firstLine="0"/>
      </w:pPr>
      <w:r>
        <w:rPr>
          <w:rFonts w:ascii="Noto Sans CJK SC" w:hAnsi="Noto Sans CJK SC" w:eastAsia="Noto Sans CJK SC"/>
          <w:b/>
          <w:sz w:val="21"/>
        </w:rPr>
        <w:t xml:space="preserve">12.1 </w:t>
      </w:r>
      <w:r>
        <w:rPr>
          <w:rFonts w:ascii="Noto Sans CJK SC" w:hAnsi="Noto Sans CJK SC" w:eastAsia="Noto Sans CJK SC"/>
          <w:sz w:val="21"/>
        </w:rPr>
        <w:t>服务人员与甲方或甲方合作服务商建立劳动或其他合法关系，乙方不与服务人员建立劳动关系。甲方负责依法承担其作为用人单位应承担的工资、社保、工伤等责任。</w:t>
      </w:r>
    </w:p>
    <w:p>
      <w:pPr>
        <w:spacing w:line="324" w:lineRule="auto" w:after="100"/>
        <w:ind w:left="0" w:firstLine="0"/>
      </w:pPr>
      <w:r>
        <w:rPr>
          <w:rFonts w:ascii="Noto Sans CJK SC" w:hAnsi="Noto Sans CJK SC" w:eastAsia="Noto Sans CJK SC"/>
          <w:b/>
          <w:sz w:val="21"/>
        </w:rPr>
        <w:t xml:space="preserve">12.2 </w:t>
      </w:r>
      <w:r>
        <w:rPr>
          <w:rFonts w:ascii="Noto Sans CJK SC" w:hAnsi="Noto Sans CJK SC" w:eastAsia="Noto Sans CJK SC"/>
          <w:sz w:val="21"/>
        </w:rPr>
        <w:t>驻场服务人员应遵守乙方适用于外部人员的门禁、信息安全、消防和现场管理规定。乙方可对安全违规人员立即暂停场所或系统访问权限。</w:t>
      </w:r>
    </w:p>
    <w:p>
      <w:pPr>
        <w:spacing w:line="324" w:lineRule="auto" w:after="100"/>
        <w:ind w:left="0" w:firstLine="0"/>
      </w:pPr>
      <w:r>
        <w:rPr>
          <w:rFonts w:ascii="Noto Sans CJK SC" w:hAnsi="Noto Sans CJK SC" w:eastAsia="Noto Sans CJK SC"/>
          <w:b/>
          <w:sz w:val="21"/>
        </w:rPr>
        <w:t xml:space="preserve">12.3 </w:t>
      </w:r>
      <w:r>
        <w:rPr>
          <w:rFonts w:ascii="Noto Sans CJK SC" w:hAnsi="Noto Sans CJK SC" w:eastAsia="Noto Sans CJK SC"/>
          <w:sz w:val="21"/>
        </w:rPr>
        <w:t>本项目不涉及高处、动火、有限空间等高风险作业。因乙方场所、设备或乙方直接指令造成的人身或财产损失，由乙方依法承担相应责任。</w:t>
      </w:r>
    </w:p>
    <w:p>
      <w:pPr>
        <w:pStyle w:val="Heading1"/>
        <w:keepNext/>
        <w:spacing w:before="200" w:after="100"/>
      </w:pPr>
      <w:r>
        <w:rPr>
          <w:rFonts w:ascii="Noto Sans CJK SC" w:hAnsi="Noto Sans CJK SC" w:eastAsia="Noto Sans CJK SC"/>
          <w:b/>
          <w:sz w:val="28"/>
        </w:rPr>
        <w:t>第十三条 合规与审计</w:t>
      </w:r>
    </w:p>
    <w:p>
      <w:pPr>
        <w:spacing w:line="324" w:lineRule="auto" w:after="100"/>
        <w:ind w:left="0" w:firstLine="0"/>
      </w:pPr>
      <w:r>
        <w:rPr>
          <w:rFonts w:ascii="Noto Sans CJK SC" w:hAnsi="Noto Sans CJK SC" w:eastAsia="Noto Sans CJK SC"/>
          <w:b/>
          <w:sz w:val="21"/>
        </w:rPr>
        <w:t xml:space="preserve">13.1 </w:t>
      </w:r>
      <w:r>
        <w:rPr>
          <w:rFonts w:ascii="Noto Sans CJK SC" w:hAnsi="Noto Sans CJK SC" w:eastAsia="Noto Sans CJK SC"/>
          <w:sz w:val="21"/>
        </w:rPr>
        <w:t>双方均应遵守适用的反商业贿赂、反舞弊及其他法律法规。任何一方不得向另一方员工提供不正当利益。</w:t>
      </w:r>
    </w:p>
    <w:p>
      <w:pPr>
        <w:spacing w:line="324" w:lineRule="auto" w:after="100"/>
        <w:ind w:left="0" w:firstLine="0"/>
      </w:pPr>
      <w:r>
        <w:rPr>
          <w:rFonts w:ascii="Noto Sans CJK SC" w:hAnsi="Noto Sans CJK SC" w:eastAsia="Noto Sans CJK SC"/>
          <w:b/>
          <w:sz w:val="21"/>
        </w:rPr>
        <w:t xml:space="preserve">13.2 </w:t>
      </w:r>
      <w:r>
        <w:rPr>
          <w:rFonts w:ascii="Noto Sans CJK SC" w:hAnsi="Noto Sans CJK SC" w:eastAsia="Noto Sans CJK SC"/>
          <w:sz w:val="21"/>
        </w:rPr>
        <w:t>乙方可就服务质量、人员资质、信息安全和结算依据对甲方进行合理审计，每个合同年度原则上一次，并提前15个工作日通知。除监管机关依法要求外，甲方无义务向乙方披露员工薪酬、个人劳动合同、其他客户资料或与本项目无关的内部财务数据。</w:t>
      </w:r>
    </w:p>
    <w:p>
      <w:pPr>
        <w:pStyle w:val="Heading1"/>
        <w:keepNext/>
        <w:spacing w:before="200" w:after="100"/>
      </w:pPr>
      <w:r>
        <w:rPr>
          <w:rFonts w:ascii="Noto Sans CJK SC" w:hAnsi="Noto Sans CJK SC" w:eastAsia="Noto Sans CJK SC"/>
          <w:b/>
          <w:sz w:val="28"/>
        </w:rPr>
        <w:t>第十四条 陈述、保证与赔偿</w:t>
      </w:r>
    </w:p>
    <w:p>
      <w:pPr>
        <w:spacing w:line="324" w:lineRule="auto" w:after="100"/>
        <w:ind w:left="0" w:firstLine="0"/>
      </w:pPr>
      <w:r>
        <w:rPr>
          <w:rFonts w:ascii="Noto Sans CJK SC" w:hAnsi="Noto Sans CJK SC" w:eastAsia="Noto Sans CJK SC"/>
          <w:b/>
          <w:sz w:val="21"/>
        </w:rPr>
        <w:t xml:space="preserve">14.1 </w:t>
      </w:r>
      <w:r>
        <w:rPr>
          <w:rFonts w:ascii="Noto Sans CJK SC" w:hAnsi="Noto Sans CJK SC" w:eastAsia="Noto Sans CJK SC"/>
          <w:sz w:val="21"/>
        </w:rPr>
        <w:t>甲方保证具备提供本协议服务所需的主体资格和合理专业能力，并按照约定提供服务。</w:t>
      </w:r>
    </w:p>
    <w:p>
      <w:pPr>
        <w:spacing w:line="324" w:lineRule="auto" w:after="100"/>
        <w:ind w:left="0" w:firstLine="0"/>
      </w:pPr>
      <w:r>
        <w:rPr>
          <w:rFonts w:ascii="Noto Sans CJK SC" w:hAnsi="Noto Sans CJK SC" w:eastAsia="Noto Sans CJK SC"/>
          <w:b/>
          <w:sz w:val="21"/>
        </w:rPr>
        <w:t xml:space="preserve">14.2 </w:t>
      </w:r>
      <w:r>
        <w:rPr>
          <w:rFonts w:ascii="Noto Sans CJK SC" w:hAnsi="Noto Sans CJK SC" w:eastAsia="Noto Sans CJK SC"/>
          <w:sz w:val="21"/>
        </w:rPr>
        <w:t>乙方保证其业务规则、客户数据、产品资料、商标、系统内容及向甲方提供的其他材料均具有合法来源和必要授权。</w:t>
      </w:r>
    </w:p>
    <w:p>
      <w:pPr>
        <w:spacing w:line="324" w:lineRule="auto" w:after="100"/>
        <w:ind w:left="0" w:firstLine="0"/>
      </w:pPr>
      <w:r>
        <w:rPr>
          <w:rFonts w:ascii="Noto Sans CJK SC" w:hAnsi="Noto Sans CJK SC" w:eastAsia="Noto Sans CJK SC"/>
          <w:b/>
          <w:sz w:val="21"/>
        </w:rPr>
        <w:t xml:space="preserve">14.3 </w:t>
      </w:r>
      <w:r>
        <w:rPr>
          <w:rFonts w:ascii="Noto Sans CJK SC" w:hAnsi="Noto Sans CJK SC" w:eastAsia="Noto Sans CJK SC"/>
          <w:sz w:val="21"/>
        </w:rPr>
        <w:t>因乙方提供的材料、业务指令或乙方产品本身导致第三方对甲方提出索赔的，乙方应赔偿甲方因此发生的合理损失和费用。</w:t>
      </w:r>
    </w:p>
    <w:p>
      <w:pPr>
        <w:pStyle w:val="Heading1"/>
        <w:keepNext/>
        <w:spacing w:before="200" w:after="100"/>
      </w:pPr>
      <w:r>
        <w:rPr>
          <w:rFonts w:ascii="Noto Sans CJK SC" w:hAnsi="Noto Sans CJK SC" w:eastAsia="Noto Sans CJK SC"/>
          <w:b/>
          <w:sz w:val="28"/>
        </w:rPr>
        <w:t>第十五条 责任限制</w:t>
      </w:r>
    </w:p>
    <w:p>
      <w:pPr>
        <w:spacing w:line="324" w:lineRule="auto" w:after="100"/>
        <w:ind w:left="0" w:firstLine="0"/>
      </w:pPr>
      <w:r>
        <w:rPr>
          <w:rFonts w:ascii="Noto Sans CJK SC" w:hAnsi="Noto Sans CJK SC" w:eastAsia="Noto Sans CJK SC"/>
          <w:b/>
          <w:sz w:val="21"/>
        </w:rPr>
        <w:t xml:space="preserve">15.1 </w:t>
      </w:r>
      <w:r>
        <w:rPr>
          <w:rFonts w:ascii="Noto Sans CJK SC" w:hAnsi="Noto Sans CJK SC" w:eastAsia="Noto Sans CJK SC"/>
          <w:sz w:val="21"/>
        </w:rPr>
        <w:t>除一方欺诈、故意违法或造成另一方人员死亡、身体伤害外，任何一方在本协议项下的累计赔偿责任均不超过责任事项发生前3个月乙方已支付的服务费。</w:t>
      </w:r>
    </w:p>
    <w:p>
      <w:pPr>
        <w:spacing w:line="324" w:lineRule="auto" w:after="100"/>
        <w:ind w:left="0" w:firstLine="0"/>
      </w:pPr>
      <w:r>
        <w:rPr>
          <w:rFonts w:ascii="Noto Sans CJK SC" w:hAnsi="Noto Sans CJK SC" w:eastAsia="Noto Sans CJK SC"/>
          <w:b/>
          <w:sz w:val="21"/>
        </w:rPr>
        <w:t xml:space="preserve">15.2 </w:t>
      </w:r>
      <w:r>
        <w:rPr>
          <w:rFonts w:ascii="Noto Sans CJK SC" w:hAnsi="Noto Sans CJK SC" w:eastAsia="Noto Sans CJK SC"/>
          <w:sz w:val="21"/>
        </w:rPr>
        <w:t>前款责任上限适用于保密、数据和个人信息、知识产权、分包、用工及第三方索赔责任。任何一方均不对另一方的利润损失、商誉损失、业务中断、商业机会或其他间接损失承担责任。</w:t>
      </w:r>
    </w:p>
    <w:p>
      <w:pPr>
        <w:spacing w:line="324" w:lineRule="auto" w:after="100"/>
        <w:ind w:left="0" w:firstLine="0"/>
      </w:pPr>
      <w:r>
        <w:rPr>
          <w:rFonts w:ascii="Noto Sans CJK SC" w:hAnsi="Noto Sans CJK SC" w:eastAsia="Noto Sans CJK SC"/>
          <w:b/>
          <w:sz w:val="21"/>
        </w:rPr>
        <w:t xml:space="preserve">15.3 </w:t>
      </w:r>
      <w:r>
        <w:rPr>
          <w:rFonts w:ascii="Noto Sans CJK SC" w:hAnsi="Noto Sans CJK SC" w:eastAsia="Noto Sans CJK SC"/>
          <w:sz w:val="21"/>
        </w:rPr>
        <w:t>乙方获得的服务信用应计入甲方责任总额，不得与其他赔偿重复计算。</w:t>
      </w:r>
    </w:p>
    <w:p>
      <w:pPr>
        <w:pStyle w:val="Heading1"/>
        <w:keepNext/>
        <w:spacing w:before="200" w:after="100"/>
      </w:pPr>
      <w:r>
        <w:rPr>
          <w:rFonts w:ascii="Noto Sans CJK SC" w:hAnsi="Noto Sans CJK SC" w:eastAsia="Noto Sans CJK SC"/>
          <w:b/>
          <w:sz w:val="28"/>
        </w:rPr>
        <w:t>第十六条 期限、暂停与终止</w:t>
      </w:r>
    </w:p>
    <w:p>
      <w:pPr>
        <w:spacing w:line="324" w:lineRule="auto" w:after="100"/>
        <w:ind w:left="0" w:firstLine="0"/>
      </w:pPr>
      <w:r>
        <w:rPr>
          <w:rFonts w:ascii="Noto Sans CJK SC" w:hAnsi="Noto Sans CJK SC" w:eastAsia="Noto Sans CJK SC"/>
          <w:b/>
          <w:sz w:val="21"/>
        </w:rPr>
        <w:t xml:space="preserve">16.1 </w:t>
      </w:r>
      <w:r>
        <w:rPr>
          <w:rFonts w:ascii="Noto Sans CJK SC" w:hAnsi="Noto Sans CJK SC" w:eastAsia="Noto Sans CJK SC"/>
          <w:sz w:val="21"/>
        </w:rPr>
        <w:t>本协议自2026年9月1日起生效，有效期12个月。除任一方在到期前60日书面通知不续约外，本协议自动续展12个月。</w:t>
      </w:r>
    </w:p>
    <w:p>
      <w:pPr>
        <w:spacing w:line="324" w:lineRule="auto" w:after="100"/>
        <w:ind w:left="0" w:firstLine="0"/>
      </w:pPr>
      <w:r>
        <w:rPr>
          <w:rFonts w:ascii="Noto Sans CJK SC" w:hAnsi="Noto Sans CJK SC" w:eastAsia="Noto Sans CJK SC"/>
          <w:b/>
          <w:sz w:val="21"/>
        </w:rPr>
        <w:t xml:space="preserve">16.2 </w:t>
      </w:r>
      <w:r>
        <w:rPr>
          <w:rFonts w:ascii="Noto Sans CJK SC" w:hAnsi="Noto Sans CJK SC" w:eastAsia="Noto Sans CJK SC"/>
          <w:sz w:val="21"/>
        </w:rPr>
        <w:t>甲方可提前30日书面通知乙方无理由终止全部或部分服务。乙方可提前60日无理由终止，但应向甲方支付剩余固定服务费的40%作为资源退出补偿，且最低不少于2个月固定服务费。</w:t>
      </w:r>
    </w:p>
    <w:p>
      <w:pPr>
        <w:spacing w:line="324" w:lineRule="auto" w:after="100"/>
        <w:ind w:left="0" w:firstLine="0"/>
      </w:pPr>
      <w:r>
        <w:rPr>
          <w:rFonts w:ascii="Noto Sans CJK SC" w:hAnsi="Noto Sans CJK SC" w:eastAsia="Noto Sans CJK SC"/>
          <w:b/>
          <w:sz w:val="21"/>
        </w:rPr>
        <w:t xml:space="preserve">16.3 </w:t>
      </w:r>
      <w:r>
        <w:rPr>
          <w:rFonts w:ascii="Noto Sans CJK SC" w:hAnsi="Noto Sans CJK SC" w:eastAsia="Noto Sans CJK SC"/>
          <w:sz w:val="21"/>
        </w:rPr>
        <w:t>一方重大违约的，守约方应给予20个工作日整改期；整改期届满仍未实质补救的，守约方可以解除协议。乙方付款违约适用第5.5条，无需重复给予整改期。</w:t>
      </w:r>
    </w:p>
    <w:p>
      <w:pPr>
        <w:spacing w:line="324" w:lineRule="auto" w:after="100"/>
        <w:ind w:left="0" w:firstLine="0"/>
      </w:pPr>
      <w:r>
        <w:rPr>
          <w:rFonts w:ascii="Noto Sans CJK SC" w:hAnsi="Noto Sans CJK SC" w:eastAsia="Noto Sans CJK SC"/>
          <w:b/>
          <w:sz w:val="21"/>
        </w:rPr>
        <w:t xml:space="preserve">16.4 </w:t>
      </w:r>
      <w:r>
        <w:rPr>
          <w:rFonts w:ascii="Noto Sans CJK SC" w:hAnsi="Noto Sans CJK SC" w:eastAsia="Noto Sans CJK SC"/>
          <w:sz w:val="21"/>
        </w:rPr>
        <w:t>协议终止后，甲方在乙方结清全部到期无争议款项后提供最长30日过渡支持。过渡服务按终止前固定服务费折算日单价的150%计费；甲方有权保留未付款期间形成的新报告和新增服务成果，但不得扣留乙方原始数据。</w:t>
      </w:r>
    </w:p>
    <w:p>
      <w:pPr>
        <w:pStyle w:val="Heading1"/>
        <w:keepNext/>
        <w:spacing w:before="200" w:after="100"/>
      </w:pPr>
      <w:r>
        <w:rPr>
          <w:rFonts w:ascii="Noto Sans CJK SC" w:hAnsi="Noto Sans CJK SC" w:eastAsia="Noto Sans CJK SC"/>
          <w:b/>
          <w:sz w:val="28"/>
        </w:rPr>
        <w:t>第十七条 不可抗力</w:t>
      </w:r>
    </w:p>
    <w:p>
      <w:pPr>
        <w:spacing w:line="324" w:lineRule="auto" w:after="100"/>
        <w:ind w:left="0" w:firstLine="0"/>
      </w:pPr>
      <w:r>
        <w:rPr>
          <w:rFonts w:ascii="Noto Sans CJK SC" w:hAnsi="Noto Sans CJK SC" w:eastAsia="Noto Sans CJK SC"/>
          <w:b/>
          <w:sz w:val="21"/>
        </w:rPr>
        <w:t xml:space="preserve">17.1 </w:t>
      </w:r>
      <w:r>
        <w:rPr>
          <w:rFonts w:ascii="Noto Sans CJK SC" w:hAnsi="Noto Sans CJK SC" w:eastAsia="Noto Sans CJK SC"/>
          <w:sz w:val="21"/>
        </w:rPr>
        <w:t>不可抗力包括自然灾害、战争、政府措施、重大公共卫生事件、公共网络或通信大面积中断、核心云服务商故障，以及突发大规模人员流失、行业性招聘困难、主要分包商停止服务等超出受影响方合理控制的事件。</w:t>
      </w:r>
    </w:p>
    <w:p>
      <w:pPr>
        <w:spacing w:line="324" w:lineRule="auto" w:after="100"/>
        <w:ind w:left="0" w:firstLine="0"/>
      </w:pPr>
      <w:r>
        <w:rPr>
          <w:rFonts w:ascii="Noto Sans CJK SC" w:hAnsi="Noto Sans CJK SC" w:eastAsia="Noto Sans CJK SC"/>
          <w:b/>
          <w:sz w:val="21"/>
        </w:rPr>
        <w:t xml:space="preserve">17.2 </w:t>
      </w:r>
      <w:r>
        <w:rPr>
          <w:rFonts w:ascii="Noto Sans CJK SC" w:hAnsi="Noto Sans CJK SC" w:eastAsia="Noto Sans CJK SC"/>
          <w:sz w:val="21"/>
        </w:rPr>
        <w:t>受影响方在合理范围内免责并应尽力减轻影响。不可抗力持续超过60日的，任何一方可终止受影响服务，双方仅结算已完成服务。</w:t>
      </w:r>
    </w:p>
    <w:p>
      <w:pPr>
        <w:pStyle w:val="Heading1"/>
        <w:keepNext/>
        <w:spacing w:before="200" w:after="100"/>
      </w:pPr>
      <w:r>
        <w:rPr>
          <w:rFonts w:ascii="Noto Sans CJK SC" w:hAnsi="Noto Sans CJK SC" w:eastAsia="Noto Sans CJK SC"/>
          <w:b/>
          <w:sz w:val="28"/>
        </w:rPr>
        <w:t>第十八条 其他</w:t>
      </w:r>
    </w:p>
    <w:p>
      <w:pPr>
        <w:spacing w:line="324" w:lineRule="auto" w:after="100"/>
        <w:ind w:left="0" w:firstLine="0"/>
      </w:pPr>
      <w:r>
        <w:rPr>
          <w:rFonts w:ascii="Noto Sans CJK SC" w:hAnsi="Noto Sans CJK SC" w:eastAsia="Noto Sans CJK SC"/>
          <w:b/>
          <w:sz w:val="21"/>
        </w:rPr>
        <w:t xml:space="preserve">18.1 </w:t>
      </w:r>
      <w:r>
        <w:rPr>
          <w:rFonts w:ascii="Noto Sans CJK SC" w:hAnsi="Noto Sans CJK SC" w:eastAsia="Noto Sans CJK SC"/>
          <w:sz w:val="21"/>
        </w:rPr>
        <w:t>未经甲方书面同意，乙方不得转让本协议；甲方可以因集团重组、业务调整将本协议转让给其关联公司，并通知乙方。</w:t>
      </w:r>
    </w:p>
    <w:p>
      <w:pPr>
        <w:spacing w:line="324" w:lineRule="auto" w:after="100"/>
        <w:ind w:left="0" w:firstLine="0"/>
      </w:pPr>
      <w:r>
        <w:rPr>
          <w:rFonts w:ascii="Noto Sans CJK SC" w:hAnsi="Noto Sans CJK SC" w:eastAsia="Noto Sans CJK SC"/>
          <w:b/>
          <w:sz w:val="21"/>
        </w:rPr>
        <w:t xml:space="preserve">18.2 </w:t>
      </w:r>
      <w:r>
        <w:rPr>
          <w:rFonts w:ascii="Noto Sans CJK SC" w:hAnsi="Noto Sans CJK SC" w:eastAsia="Noto Sans CJK SC"/>
          <w:sz w:val="21"/>
        </w:rPr>
        <w:t>本协议、附件及双方后续服务订单构成完整协议。就具体服务内容、人员数量、排班和费用，以时间在后的服务订单或项目负责人邮件确认为准；其他法律条款以本协议为准。</w:t>
      </w:r>
    </w:p>
    <w:p>
      <w:pPr>
        <w:spacing w:line="324" w:lineRule="auto" w:after="100"/>
        <w:ind w:left="0" w:firstLine="0"/>
      </w:pPr>
      <w:r>
        <w:rPr>
          <w:rFonts w:ascii="Noto Sans CJK SC" w:hAnsi="Noto Sans CJK SC" w:eastAsia="Noto Sans CJK SC"/>
          <w:b/>
          <w:sz w:val="21"/>
        </w:rPr>
        <w:t xml:space="preserve">18.3 </w:t>
      </w:r>
      <w:r>
        <w:rPr>
          <w:rFonts w:ascii="Noto Sans CJK SC" w:hAnsi="Noto Sans CJK SC" w:eastAsia="Noto Sans CJK SC"/>
          <w:sz w:val="21"/>
        </w:rPr>
        <w:t>本协议适用中华人民共和国大陆地区法律。因本协议产生的争议，双方协商不成的，提交甲方住所地有管辖权的人民法院诉讼解决。</w:t>
      </w:r>
    </w:p>
    <w:p>
      <w:pPr>
        <w:spacing w:line="324" w:lineRule="auto" w:after="100"/>
        <w:ind w:left="0" w:firstLine="0"/>
      </w:pPr>
      <w:r>
        <w:rPr>
          <w:rFonts w:ascii="Noto Sans CJK SC" w:hAnsi="Noto Sans CJK SC" w:eastAsia="Noto Sans CJK SC"/>
          <w:b/>
          <w:sz w:val="21"/>
        </w:rPr>
        <w:t xml:space="preserve">18.4 </w:t>
      </w:r>
      <w:r>
        <w:rPr>
          <w:rFonts w:ascii="Noto Sans CJK SC" w:hAnsi="Noto Sans CJK SC" w:eastAsia="Noto Sans CJK SC"/>
          <w:sz w:val="21"/>
        </w:rPr>
        <w:t>双方通过首页电子邮箱发送的通知在发送成功后24小时视为送达。</w:t>
      </w:r>
    </w:p>
    <w:p/>
    <w:tbl>
      <w:tblPr>
        <w:tblStyle w:val="TableGrid"/>
        <w:tblW w:type="auto" w:w="0"/>
        <w:jc w:val="center"/>
        <w:tblLook w:firstColumn="1" w:firstRow="1" w:lastColumn="0" w:lastRow="0" w:noHBand="0" w:noVBand="1" w:val="04A0"/>
      </w:tblPr>
      <w:tblGrid>
        <w:gridCol w:w="4816"/>
        <w:gridCol w:w="4816"/>
      </w:tblGrid>
      <w:tr>
        <w:tc>
          <w:tcPr>
            <w:tcW w:type="dxa" w:w="3685"/>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甲方（服务商）</w:t>
            </w:r>
          </w:p>
        </w:tc>
        <w:tc>
          <w:tcPr>
            <w:tcW w:type="dxa" w:w="3685"/>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乙方（客户/采购方）</w:t>
            </w:r>
          </w:p>
        </w:tc>
      </w:tr>
      <w:tr>
        <w:tc>
          <w:tcPr>
            <w:tcW w:type="dxa" w:w="3685"/>
            <w:vAlign w:val="center"/>
            <w:tcMar>
              <w:top w:w="90" w:type="dxa"/>
              <w:start w:w="100" w:type="dxa"/>
              <w:bottom w:w="90" w:type="dxa"/>
              <w:end w:w="100" w:type="dxa"/>
            </w:tcMar>
          </w:tcPr>
          <w:p>
            <w:pPr>
              <w:spacing w:after="0"/>
            </w:pPr>
            <w:r/>
            <w:r>
              <w:rPr>
                <w:rFonts w:ascii="Noto Sans CJK SC" w:hAnsi="Noto Sans CJK SC" w:eastAsia="Noto Sans CJK SC"/>
                <w:b w:val="0"/>
                <w:sz w:val="19"/>
              </w:rPr>
              <w:t>远恒运营服务（北京）有限公司</w:t>
              <w:br/>
              <w:t>授权代表：赵晨</w:t>
              <w:br/>
              <w:t>签署日期：2026年8月25日</w:t>
            </w:r>
          </w:p>
        </w:tc>
        <w:tc>
          <w:tcPr>
            <w:tcW w:type="dxa" w:w="3685"/>
            <w:vAlign w:val="center"/>
            <w:tcMar>
              <w:top w:w="90" w:type="dxa"/>
              <w:start w:w="100" w:type="dxa"/>
              <w:bottom w:w="90" w:type="dxa"/>
              <w:end w:w="100" w:type="dxa"/>
            </w:tcMar>
          </w:tcPr>
          <w:p>
            <w:pPr>
              <w:spacing w:after="0"/>
            </w:pPr>
            <w:r/>
            <w:r>
              <w:rPr>
                <w:rFonts w:ascii="Noto Sans CJK SC" w:hAnsi="Noto Sans CJK SC" w:eastAsia="Noto Sans CJK SC"/>
                <w:b w:val="0"/>
                <w:sz w:val="19"/>
              </w:rPr>
              <w:t>澄海智能科技（北京）有限公司</w:t>
              <w:br/>
              <w:t>授权代表：王宁</w:t>
              <w:br/>
              <w:t>签署日期：2026年8月25日</w:t>
            </w:r>
          </w:p>
        </w:tc>
      </w:tr>
    </w:tbl>
    <w:p>
      <w:pPr>
        <w:spacing w:after="0"/>
      </w:pPr>
    </w:p>
    <w:p>
      <w:r>
        <w:br w:type="page"/>
      </w:r>
    </w:p>
    <w:p>
      <w:pPr>
        <w:pStyle w:val="Heading1"/>
        <w:keepNext/>
        <w:spacing w:before="200" w:after="100"/>
      </w:pPr>
      <w:r>
        <w:rPr>
          <w:rFonts w:ascii="Noto Sans CJK SC" w:hAnsi="Noto Sans CJK SC" w:eastAsia="Noto Sans CJK SC"/>
          <w:b/>
          <w:sz w:val="28"/>
        </w:rPr>
        <w:t>附件一：服务订单</w:t>
      </w:r>
    </w:p>
    <w:tbl>
      <w:tblPr>
        <w:tblStyle w:val="TableGrid"/>
        <w:tblW w:type="auto" w:w="0"/>
        <w:jc w:val="center"/>
        <w:tblLook w:firstColumn="1" w:firstRow="1" w:lastColumn="0" w:lastRow="0" w:noHBand="0" w:noVBand="1" w:val="04A0"/>
      </w:tblPr>
      <w:tblGrid>
        <w:gridCol w:w="4816"/>
        <w:gridCol w:w="4816"/>
      </w:tblGrid>
      <w:tr>
        <w:tc>
          <w:tcPr>
            <w:tcW w:type="dxa" w:w="1814"/>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项目</w:t>
            </w:r>
          </w:p>
        </w:tc>
        <w:tc>
          <w:tcPr>
            <w:tcW w:type="dxa" w:w="5556"/>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约定</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项目名称</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智能终端售后工单处理与客户运营支持项目</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服务期间</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2026年9月1日至2027年8月31日</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服务范围</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售后工单受理/分类/答复；异常工单流转跟进；客户回访；重大客诉升级；FAQ/知识库维护；周报/月报及运营分析</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服务地点</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甲方北京交付中心为主；乙方北京办公场所6个驻场工位</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服务时间</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每日09:00-21:00（含节假日轮值）；重大客诉7×24小时升级响应</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基础人员配置</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18名全职服务人员，其中驻场不少于6名</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预计业务量</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约24,000单/月；峰值约32,000单/月</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乙方项目负责人</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王宁</w:t>
            </w:r>
          </w:p>
        </w:tc>
      </w:tr>
      <w:tr>
        <w:tc>
          <w:tcPr>
            <w:tcW w:type="dxa" w:w="1814"/>
            <w:vAlign w:val="center"/>
            <w:tcMar>
              <w:top w:w="90" w:type="dxa"/>
              <w:start w:w="100" w:type="dxa"/>
              <w:bottom w:w="90" w:type="dxa"/>
              <w:end w:w="100" w:type="dxa"/>
            </w:tcMar>
          </w:tcPr>
          <w:p>
            <w:pPr>
              <w:spacing w:after="0"/>
            </w:pPr>
            <w:r/>
            <w:r>
              <w:rPr>
                <w:rFonts w:ascii="Noto Sans CJK SC" w:hAnsi="Noto Sans CJK SC" w:eastAsia="Noto Sans CJK SC"/>
                <w:b w:val="0"/>
                <w:sz w:val="19"/>
              </w:rPr>
              <w:t>甲方项目负责人</w:t>
            </w:r>
          </w:p>
        </w:tc>
        <w:tc>
          <w:tcPr>
            <w:tcW w:type="dxa" w:w="5556"/>
            <w:vAlign w:val="center"/>
            <w:tcMar>
              <w:top w:w="90" w:type="dxa"/>
              <w:start w:w="100" w:type="dxa"/>
              <w:bottom w:w="90" w:type="dxa"/>
              <w:end w:w="100" w:type="dxa"/>
            </w:tcMar>
          </w:tcPr>
          <w:p>
            <w:pPr>
              <w:spacing w:after="0"/>
            </w:pPr>
            <w:r/>
            <w:r>
              <w:rPr>
                <w:rFonts w:ascii="Noto Sans CJK SC" w:hAnsi="Noto Sans CJK SC" w:eastAsia="Noto Sans CJK SC"/>
                <w:b w:val="0"/>
                <w:sz w:val="19"/>
              </w:rPr>
              <w:t>赵晨</w:t>
            </w:r>
          </w:p>
        </w:tc>
      </w:tr>
    </w:tbl>
    <w:p>
      <w:pPr>
        <w:spacing w:after="0"/>
      </w:pPr>
    </w:p>
    <w:p>
      <w:pPr>
        <w:pStyle w:val="Heading2"/>
        <w:keepNext/>
        <w:spacing w:before="120" w:after="100"/>
      </w:pPr>
      <w:r>
        <w:rPr>
          <w:rFonts w:ascii="Noto Sans CJK SC" w:hAnsi="Noto Sans CJK SC" w:eastAsia="Noto Sans CJK SC"/>
          <w:b/>
          <w:sz w:val="23"/>
        </w:rPr>
        <w:t>一、服务边界</w:t>
      </w:r>
    </w:p>
    <w:p>
      <w:pPr>
        <w:spacing w:line="324" w:lineRule="auto" w:after="100"/>
      </w:pPr>
      <w:r>
        <w:rPr>
          <w:rFonts w:ascii="Noto Sans CJK SC" w:hAnsi="Noto Sans CJK SC" w:eastAsia="Noto Sans CJK SC"/>
          <w:b w:val="0"/>
          <w:sz w:val="21"/>
        </w:rPr>
        <w:t>甲方负责工单处理、客户沟通、回访、知识库维护和运营分析。退款、赔偿、产品召回、重大舆情对外回应等需要业务决策的事项由乙方最终决定。</w:t>
      </w:r>
    </w:p>
    <w:p>
      <w:pPr>
        <w:pStyle w:val="Heading2"/>
        <w:keepNext/>
        <w:spacing w:before="120" w:after="100"/>
      </w:pPr>
      <w:r>
        <w:rPr>
          <w:rFonts w:ascii="Noto Sans CJK SC" w:hAnsi="Noto Sans CJK SC" w:eastAsia="Noto Sans CJK SC"/>
          <w:b/>
          <w:sz w:val="23"/>
        </w:rPr>
        <w:t>二、人员配置与增减</w:t>
      </w:r>
    </w:p>
    <w:p>
      <w:pPr>
        <w:spacing w:line="324" w:lineRule="auto" w:after="100"/>
      </w:pPr>
      <w:r>
        <w:rPr>
          <w:rFonts w:ascii="Noto Sans CJK SC" w:hAnsi="Noto Sans CJK SC" w:eastAsia="Noto Sans CJK SC"/>
          <w:b w:val="0"/>
          <w:sz w:val="21"/>
        </w:rPr>
        <w:t>基础配置18人。乙方要求新增人员的，按照15,800元/人/月（不含税）计费；乙方要求减少基础配置人员的，应提前30日通知。乙方月度排班表由双方项目负责人邮件确认。</w:t>
      </w:r>
    </w:p>
    <w:p>
      <w:pPr>
        <w:pStyle w:val="Heading2"/>
        <w:keepNext/>
        <w:spacing w:before="120" w:after="100"/>
      </w:pPr>
      <w:r>
        <w:rPr>
          <w:rFonts w:ascii="Noto Sans CJK SC" w:hAnsi="Noto Sans CJK SC" w:eastAsia="Noto Sans CJK SC"/>
          <w:b/>
          <w:sz w:val="23"/>
        </w:rPr>
        <w:t>三、甲方提供资源</w:t>
      </w:r>
    </w:p>
    <w:tbl>
      <w:tblPr>
        <w:tblStyle w:val="TableGrid"/>
        <w:tblW w:type="auto" w:w="0"/>
        <w:jc w:val="center"/>
        <w:tblLook w:firstColumn="1" w:firstRow="1" w:lastColumn="0" w:lastRow="0" w:noHBand="0" w:noVBand="1" w:val="04A0"/>
      </w:tblPr>
      <w:tblGrid>
        <w:gridCol w:w="3211"/>
        <w:gridCol w:w="3211"/>
        <w:gridCol w:w="3211"/>
      </w:tblGrid>
      <w:tr>
        <w:tc>
          <w:tcPr>
            <w:tcW w:type="dxa" w:w="2268"/>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资源</w:t>
            </w:r>
          </w:p>
        </w:tc>
        <w:tc>
          <w:tcPr>
            <w:tcW w:type="dxa" w:w="1247"/>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提供方</w:t>
            </w:r>
          </w:p>
        </w:tc>
        <w:tc>
          <w:tcPr>
            <w:tcW w:type="dxa" w:w="3628"/>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说明</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CRM/售后工单系统</w:t>
            </w:r>
          </w:p>
        </w:tc>
        <w:tc>
          <w:tcPr>
            <w:tcW w:type="dxa" w:w="1247"/>
            <w:vAlign w:val="center"/>
            <w:tcMar>
              <w:top w:w="90" w:type="dxa"/>
              <w:start w:w="100" w:type="dxa"/>
              <w:bottom w:w="90" w:type="dxa"/>
              <w:end w:w="100" w:type="dxa"/>
            </w:tcMar>
          </w:tcPr>
          <w:p>
            <w:pPr>
              <w:spacing w:after="0"/>
            </w:pPr>
            <w:r/>
            <w:r>
              <w:rPr>
                <w:rFonts w:ascii="Noto Sans CJK SC" w:hAnsi="Noto Sans CJK SC" w:eastAsia="Noto Sans CJK SC"/>
                <w:b w:val="0"/>
                <w:sz w:val="19"/>
              </w:rPr>
              <w:t>乙方</w:t>
            </w:r>
          </w:p>
        </w:tc>
        <w:tc>
          <w:tcPr>
            <w:tcW w:type="dxa" w:w="3628"/>
            <w:vAlign w:val="center"/>
            <w:tcMar>
              <w:top w:w="90" w:type="dxa"/>
              <w:start w:w="100" w:type="dxa"/>
              <w:bottom w:w="90" w:type="dxa"/>
              <w:end w:w="100" w:type="dxa"/>
            </w:tcMar>
          </w:tcPr>
          <w:p>
            <w:pPr>
              <w:spacing w:after="0"/>
            </w:pPr>
            <w:r/>
            <w:r>
              <w:rPr>
                <w:rFonts w:ascii="Noto Sans CJK SC" w:hAnsi="Noto Sans CJK SC" w:eastAsia="Noto Sans CJK SC"/>
                <w:b w:val="0"/>
                <w:sz w:val="19"/>
              </w:rPr>
              <w:t>提供外部账号并负责系统稳定性</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驻场工位6个及受控终端</w:t>
            </w:r>
          </w:p>
        </w:tc>
        <w:tc>
          <w:tcPr>
            <w:tcW w:type="dxa" w:w="1247"/>
            <w:vAlign w:val="center"/>
            <w:tcMar>
              <w:top w:w="90" w:type="dxa"/>
              <w:start w:w="100" w:type="dxa"/>
              <w:bottom w:w="90" w:type="dxa"/>
              <w:end w:w="100" w:type="dxa"/>
            </w:tcMar>
          </w:tcPr>
          <w:p>
            <w:pPr>
              <w:spacing w:after="0"/>
            </w:pPr>
            <w:r/>
            <w:r>
              <w:rPr>
                <w:rFonts w:ascii="Noto Sans CJK SC" w:hAnsi="Noto Sans CJK SC" w:eastAsia="Noto Sans CJK SC"/>
                <w:b w:val="0"/>
                <w:sz w:val="19"/>
              </w:rPr>
              <w:t>乙方</w:t>
            </w:r>
          </w:p>
        </w:tc>
        <w:tc>
          <w:tcPr>
            <w:tcW w:type="dxa" w:w="3628"/>
            <w:vAlign w:val="center"/>
            <w:tcMar>
              <w:top w:w="90" w:type="dxa"/>
              <w:start w:w="100" w:type="dxa"/>
              <w:bottom w:w="90" w:type="dxa"/>
              <w:end w:w="100" w:type="dxa"/>
            </w:tcMar>
          </w:tcPr>
          <w:p>
            <w:pPr>
              <w:spacing w:after="0"/>
            </w:pPr>
            <w:r/>
            <w:r>
              <w:rPr>
                <w:rFonts w:ascii="Noto Sans CJK SC" w:hAnsi="Noto Sans CJK SC" w:eastAsia="Noto Sans CJK SC"/>
                <w:b w:val="0"/>
                <w:sz w:val="19"/>
              </w:rPr>
              <w:t>仅用于本项目</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其他客服终端及管理工具</w:t>
            </w:r>
          </w:p>
        </w:tc>
        <w:tc>
          <w:tcPr>
            <w:tcW w:type="dxa" w:w="1247"/>
            <w:vAlign w:val="center"/>
            <w:tcMar>
              <w:top w:w="90" w:type="dxa"/>
              <w:start w:w="100" w:type="dxa"/>
              <w:bottom w:w="90" w:type="dxa"/>
              <w:end w:w="100" w:type="dxa"/>
            </w:tcMar>
          </w:tcPr>
          <w:p>
            <w:pPr>
              <w:spacing w:after="0"/>
            </w:pPr>
            <w:r/>
            <w:r>
              <w:rPr>
                <w:rFonts w:ascii="Noto Sans CJK SC" w:hAnsi="Noto Sans CJK SC" w:eastAsia="Noto Sans CJK SC"/>
                <w:b w:val="0"/>
                <w:sz w:val="19"/>
              </w:rPr>
              <w:t>甲方</w:t>
            </w:r>
          </w:p>
        </w:tc>
        <w:tc>
          <w:tcPr>
            <w:tcW w:type="dxa" w:w="3628"/>
            <w:vAlign w:val="center"/>
            <w:tcMar>
              <w:top w:w="90" w:type="dxa"/>
              <w:start w:w="100" w:type="dxa"/>
              <w:bottom w:w="90" w:type="dxa"/>
              <w:end w:w="100" w:type="dxa"/>
            </w:tcMar>
          </w:tcPr>
          <w:p>
            <w:pPr>
              <w:spacing w:after="0"/>
            </w:pPr>
            <w:r/>
            <w:r>
              <w:rPr>
                <w:rFonts w:ascii="Noto Sans CJK SC" w:hAnsi="Noto Sans CJK SC" w:eastAsia="Noto Sans CJK SC"/>
                <w:b w:val="0"/>
                <w:sz w:val="19"/>
              </w:rPr>
              <w:t>甲方自行配置</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产品FAQ/售后SOP/赔偿矩阵</w:t>
            </w:r>
          </w:p>
        </w:tc>
        <w:tc>
          <w:tcPr>
            <w:tcW w:type="dxa" w:w="1247"/>
            <w:vAlign w:val="center"/>
            <w:tcMar>
              <w:top w:w="90" w:type="dxa"/>
              <w:start w:w="100" w:type="dxa"/>
              <w:bottom w:w="90" w:type="dxa"/>
              <w:end w:w="100" w:type="dxa"/>
            </w:tcMar>
          </w:tcPr>
          <w:p>
            <w:pPr>
              <w:spacing w:after="0"/>
            </w:pPr>
            <w:r/>
            <w:r>
              <w:rPr>
                <w:rFonts w:ascii="Noto Sans CJK SC" w:hAnsi="Noto Sans CJK SC" w:eastAsia="Noto Sans CJK SC"/>
                <w:b w:val="0"/>
                <w:sz w:val="19"/>
              </w:rPr>
              <w:t>乙方</w:t>
            </w:r>
          </w:p>
        </w:tc>
        <w:tc>
          <w:tcPr>
            <w:tcW w:type="dxa" w:w="3628"/>
            <w:vAlign w:val="center"/>
            <w:tcMar>
              <w:top w:w="90" w:type="dxa"/>
              <w:start w:w="100" w:type="dxa"/>
              <w:bottom w:w="90" w:type="dxa"/>
              <w:end w:w="100" w:type="dxa"/>
            </w:tcMar>
          </w:tcPr>
          <w:p>
            <w:pPr>
              <w:spacing w:after="0"/>
            </w:pPr>
            <w:r/>
            <w:r>
              <w:rPr>
                <w:rFonts w:ascii="Noto Sans CJK SC" w:hAnsi="Noto Sans CJK SC" w:eastAsia="Noto Sans CJK SC"/>
                <w:b w:val="0"/>
                <w:sz w:val="19"/>
              </w:rPr>
              <w:t>乙方及时更新</w:t>
            </w:r>
          </w:p>
        </w:tc>
      </w:tr>
    </w:tbl>
    <w:p>
      <w:pPr>
        <w:spacing w:after="0"/>
      </w:pPr>
    </w:p>
    <w:p>
      <w:r>
        <w:br w:type="page"/>
      </w:r>
    </w:p>
    <w:p>
      <w:pPr>
        <w:pStyle w:val="Heading1"/>
        <w:keepNext/>
        <w:spacing w:before="200" w:after="100"/>
      </w:pPr>
      <w:r>
        <w:rPr>
          <w:rFonts w:ascii="Noto Sans CJK SC" w:hAnsi="Noto Sans CJK SC" w:eastAsia="Noto Sans CJK SC"/>
          <w:b/>
          <w:sz w:val="28"/>
        </w:rPr>
        <w:t>附件二：服务水平与服务信用</w:t>
      </w:r>
    </w:p>
    <w:tbl>
      <w:tblPr>
        <w:tblStyle w:val="TableGrid"/>
        <w:tblW w:type="auto" w:w="0"/>
        <w:jc w:val="center"/>
        <w:tblLook w:firstColumn="1" w:firstRow="1" w:lastColumn="0" w:lastRow="0" w:noHBand="0" w:noVBand="1" w:val="04A0"/>
      </w:tblPr>
      <w:tblGrid>
        <w:gridCol w:w="2408"/>
        <w:gridCol w:w="2408"/>
        <w:gridCol w:w="2408"/>
        <w:gridCol w:w="2408"/>
      </w:tblGrid>
      <w:tr>
        <w:tc>
          <w:tcPr>
            <w:tcW w:type="dxa" w:w="1757"/>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指标</w:t>
            </w:r>
          </w:p>
        </w:tc>
        <w:tc>
          <w:tcPr>
            <w:tcW w:type="dxa" w:w="1304"/>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目标值</w:t>
            </w:r>
          </w:p>
        </w:tc>
        <w:tc>
          <w:tcPr>
            <w:tcW w:type="dxa" w:w="2324"/>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统计口径</w:t>
            </w:r>
          </w:p>
        </w:tc>
        <w:tc>
          <w:tcPr>
            <w:tcW w:type="dxa" w:w="1871"/>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服务信用</w:t>
            </w:r>
          </w:p>
        </w:tc>
      </w:tr>
      <w:tr>
        <w:tc>
          <w:tcPr>
            <w:tcW w:type="dxa" w:w="1757"/>
            <w:vAlign w:val="center"/>
            <w:tcMar>
              <w:top w:w="90" w:type="dxa"/>
              <w:start w:w="100" w:type="dxa"/>
              <w:bottom w:w="90" w:type="dxa"/>
              <w:end w:w="100" w:type="dxa"/>
            </w:tcMar>
          </w:tcPr>
          <w:p>
            <w:pPr>
              <w:spacing w:after="0"/>
            </w:pPr>
            <w:r/>
            <w:r>
              <w:rPr>
                <w:rFonts w:ascii="Noto Sans CJK SC" w:hAnsi="Noto Sans CJK SC" w:eastAsia="Noto Sans CJK SC"/>
                <w:b w:val="0"/>
                <w:sz w:val="19"/>
              </w:rPr>
              <w:t>及时率</w:t>
            </w:r>
          </w:p>
        </w:tc>
        <w:tc>
          <w:tcPr>
            <w:tcW w:type="dxa" w:w="1304"/>
            <w:vAlign w:val="center"/>
            <w:tcMar>
              <w:top w:w="90" w:type="dxa"/>
              <w:start w:w="100" w:type="dxa"/>
              <w:bottom w:w="90" w:type="dxa"/>
              <w:end w:w="100" w:type="dxa"/>
            </w:tcMar>
          </w:tcPr>
          <w:p>
            <w:pPr>
              <w:spacing w:after="0"/>
            </w:pPr>
            <w:r/>
            <w:r>
              <w:rPr>
                <w:rFonts w:ascii="Noto Sans CJK SC" w:hAnsi="Noto Sans CJK SC" w:eastAsia="Noto Sans CJK SC"/>
                <w:b w:val="0"/>
                <w:sz w:val="19"/>
              </w:rPr>
              <w:t>≥97.5%</w:t>
            </w:r>
          </w:p>
        </w:tc>
        <w:tc>
          <w:tcPr>
            <w:tcW w:type="dxa" w:w="2324"/>
            <w:vAlign w:val="center"/>
            <w:tcMar>
              <w:top w:w="90" w:type="dxa"/>
              <w:start w:w="100" w:type="dxa"/>
              <w:bottom w:w="90" w:type="dxa"/>
              <w:end w:w="100" w:type="dxa"/>
            </w:tcMar>
          </w:tcPr>
          <w:p>
            <w:pPr>
              <w:spacing w:after="0"/>
            </w:pPr>
            <w:r/>
            <w:r>
              <w:rPr>
                <w:rFonts w:ascii="Noto Sans CJK SC" w:hAnsi="Noto Sans CJK SC" w:eastAsia="Noto Sans CJK SC"/>
                <w:b w:val="0"/>
                <w:sz w:val="19"/>
              </w:rPr>
              <w:t>工单系统月度统计</w:t>
            </w:r>
          </w:p>
        </w:tc>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低0.5个百分点扣0.5%月费</w:t>
            </w:r>
          </w:p>
        </w:tc>
      </w:tr>
      <w:tr>
        <w:tc>
          <w:tcPr>
            <w:tcW w:type="dxa" w:w="1757"/>
            <w:vAlign w:val="center"/>
            <w:tcMar>
              <w:top w:w="90" w:type="dxa"/>
              <w:start w:w="100" w:type="dxa"/>
              <w:bottom w:w="90" w:type="dxa"/>
              <w:end w:w="100" w:type="dxa"/>
            </w:tcMar>
          </w:tcPr>
          <w:p>
            <w:pPr>
              <w:spacing w:after="0"/>
            </w:pPr>
            <w:r/>
            <w:r>
              <w:rPr>
                <w:rFonts w:ascii="Noto Sans CJK SC" w:hAnsi="Noto Sans CJK SC" w:eastAsia="Noto Sans CJK SC"/>
                <w:b w:val="0"/>
                <w:sz w:val="19"/>
              </w:rPr>
              <w:t>准确率</w:t>
            </w:r>
          </w:p>
        </w:tc>
        <w:tc>
          <w:tcPr>
            <w:tcW w:type="dxa" w:w="1304"/>
            <w:vAlign w:val="center"/>
            <w:tcMar>
              <w:top w:w="90" w:type="dxa"/>
              <w:start w:w="100" w:type="dxa"/>
              <w:bottom w:w="90" w:type="dxa"/>
              <w:end w:w="100" w:type="dxa"/>
            </w:tcMar>
          </w:tcPr>
          <w:p>
            <w:pPr>
              <w:spacing w:after="0"/>
            </w:pPr>
            <w:r/>
            <w:r>
              <w:rPr>
                <w:rFonts w:ascii="Noto Sans CJK SC" w:hAnsi="Noto Sans CJK SC" w:eastAsia="Noto Sans CJK SC"/>
                <w:b w:val="0"/>
                <w:sz w:val="19"/>
              </w:rPr>
              <w:t>≥98%</w:t>
            </w:r>
          </w:p>
        </w:tc>
        <w:tc>
          <w:tcPr>
            <w:tcW w:type="dxa" w:w="2324"/>
            <w:vAlign w:val="center"/>
            <w:tcMar>
              <w:top w:w="90" w:type="dxa"/>
              <w:start w:w="100" w:type="dxa"/>
              <w:bottom w:w="90" w:type="dxa"/>
              <w:end w:w="100" w:type="dxa"/>
            </w:tcMar>
          </w:tcPr>
          <w:p>
            <w:pPr>
              <w:spacing w:after="0"/>
            </w:pPr>
            <w:r/>
            <w:r>
              <w:rPr>
                <w:rFonts w:ascii="Noto Sans CJK SC" w:hAnsi="Noto Sans CJK SC" w:eastAsia="Noto Sans CJK SC"/>
                <w:b w:val="0"/>
                <w:sz w:val="19"/>
              </w:rPr>
              <w:t>质检抽样</w:t>
            </w:r>
          </w:p>
        </w:tc>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低0.5个百分点扣0.5%月费</w:t>
            </w:r>
          </w:p>
        </w:tc>
      </w:tr>
      <w:tr>
        <w:tc>
          <w:tcPr>
            <w:tcW w:type="dxa" w:w="1757"/>
            <w:vAlign w:val="center"/>
            <w:tcMar>
              <w:top w:w="90" w:type="dxa"/>
              <w:start w:w="100" w:type="dxa"/>
              <w:bottom w:w="90" w:type="dxa"/>
              <w:end w:w="100" w:type="dxa"/>
            </w:tcMar>
          </w:tcPr>
          <w:p>
            <w:pPr>
              <w:spacing w:after="0"/>
            </w:pPr>
            <w:r/>
            <w:r>
              <w:rPr>
                <w:rFonts w:ascii="Noto Sans CJK SC" w:hAnsi="Noto Sans CJK SC" w:eastAsia="Noto Sans CJK SC"/>
                <w:b w:val="0"/>
                <w:sz w:val="19"/>
              </w:rPr>
              <w:t>一次通过率</w:t>
            </w:r>
          </w:p>
        </w:tc>
        <w:tc>
          <w:tcPr>
            <w:tcW w:type="dxa" w:w="1304"/>
            <w:vAlign w:val="center"/>
            <w:tcMar>
              <w:top w:w="90" w:type="dxa"/>
              <w:start w:w="100" w:type="dxa"/>
              <w:bottom w:w="90" w:type="dxa"/>
              <w:end w:w="100" w:type="dxa"/>
            </w:tcMar>
          </w:tcPr>
          <w:p>
            <w:pPr>
              <w:spacing w:after="0"/>
            </w:pPr>
            <w:r/>
            <w:r>
              <w:rPr>
                <w:rFonts w:ascii="Noto Sans CJK SC" w:hAnsi="Noto Sans CJK SC" w:eastAsia="Noto Sans CJK SC"/>
                <w:b w:val="0"/>
                <w:sz w:val="19"/>
              </w:rPr>
              <w:t>≥96%</w:t>
            </w:r>
          </w:p>
        </w:tc>
        <w:tc>
          <w:tcPr>
            <w:tcW w:type="dxa" w:w="2324"/>
            <w:vAlign w:val="center"/>
            <w:tcMar>
              <w:top w:w="90" w:type="dxa"/>
              <w:start w:w="100" w:type="dxa"/>
              <w:bottom w:w="90" w:type="dxa"/>
              <w:end w:w="100" w:type="dxa"/>
            </w:tcMar>
          </w:tcPr>
          <w:p>
            <w:pPr>
              <w:spacing w:after="0"/>
            </w:pPr>
            <w:r/>
            <w:r>
              <w:rPr>
                <w:rFonts w:ascii="Noto Sans CJK SC" w:hAnsi="Noto Sans CJK SC" w:eastAsia="Noto Sans CJK SC"/>
                <w:b w:val="0"/>
                <w:sz w:val="19"/>
              </w:rPr>
              <w:t>质检抽样</w:t>
            </w:r>
          </w:p>
        </w:tc>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低1个百分点扣0.5%月费</w:t>
            </w:r>
          </w:p>
        </w:tc>
      </w:tr>
      <w:tr>
        <w:tc>
          <w:tcPr>
            <w:tcW w:type="dxa" w:w="1757"/>
            <w:vAlign w:val="center"/>
            <w:tcMar>
              <w:top w:w="90" w:type="dxa"/>
              <w:start w:w="100" w:type="dxa"/>
              <w:bottom w:w="90" w:type="dxa"/>
              <w:end w:w="100" w:type="dxa"/>
            </w:tcMar>
          </w:tcPr>
          <w:p>
            <w:pPr>
              <w:spacing w:after="0"/>
            </w:pPr>
            <w:r/>
            <w:r>
              <w:rPr>
                <w:rFonts w:ascii="Noto Sans CJK SC" w:hAnsi="Noto Sans CJK SC" w:eastAsia="Noto Sans CJK SC"/>
                <w:b w:val="0"/>
                <w:sz w:val="19"/>
              </w:rPr>
              <w:t>客诉率</w:t>
            </w:r>
          </w:p>
        </w:tc>
        <w:tc>
          <w:tcPr>
            <w:tcW w:type="dxa" w:w="1304"/>
            <w:vAlign w:val="center"/>
            <w:tcMar>
              <w:top w:w="90" w:type="dxa"/>
              <w:start w:w="100" w:type="dxa"/>
              <w:bottom w:w="90" w:type="dxa"/>
              <w:end w:w="100" w:type="dxa"/>
            </w:tcMar>
          </w:tcPr>
          <w:p>
            <w:pPr>
              <w:spacing w:after="0"/>
            </w:pPr>
            <w:r/>
            <w:r>
              <w:rPr>
                <w:rFonts w:ascii="Noto Sans CJK SC" w:hAnsi="Noto Sans CJK SC" w:eastAsia="Noto Sans CJK SC"/>
                <w:b w:val="0"/>
                <w:sz w:val="19"/>
              </w:rPr>
              <w:t>≤0.40%</w:t>
            </w:r>
          </w:p>
        </w:tc>
        <w:tc>
          <w:tcPr>
            <w:tcW w:type="dxa" w:w="2324"/>
            <w:vAlign w:val="center"/>
            <w:tcMar>
              <w:top w:w="90" w:type="dxa"/>
              <w:start w:w="100" w:type="dxa"/>
              <w:bottom w:w="90" w:type="dxa"/>
              <w:end w:w="100" w:type="dxa"/>
            </w:tcMar>
          </w:tcPr>
          <w:p>
            <w:pPr>
              <w:spacing w:after="0"/>
            </w:pPr>
            <w:r/>
            <w:r>
              <w:rPr>
                <w:rFonts w:ascii="Noto Sans CJK SC" w:hAnsi="Noto Sans CJK SC" w:eastAsia="Noto Sans CJK SC"/>
                <w:b w:val="0"/>
                <w:sz w:val="19"/>
              </w:rPr>
              <w:t>有效客诉/已处理工单</w:t>
            </w:r>
          </w:p>
        </w:tc>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每超0.10个百分点扣0.5%月费</w:t>
            </w:r>
          </w:p>
        </w:tc>
      </w:tr>
      <w:tr>
        <w:tc>
          <w:tcPr>
            <w:tcW w:type="dxa" w:w="1757"/>
            <w:vAlign w:val="center"/>
            <w:tcMar>
              <w:top w:w="90" w:type="dxa"/>
              <w:start w:w="100" w:type="dxa"/>
              <w:bottom w:w="90" w:type="dxa"/>
              <w:end w:w="100" w:type="dxa"/>
            </w:tcMar>
          </w:tcPr>
          <w:p>
            <w:pPr>
              <w:spacing w:after="0"/>
            </w:pPr>
            <w:r/>
            <w:r>
              <w:rPr>
                <w:rFonts w:ascii="Noto Sans CJK SC" w:hAnsi="Noto Sans CJK SC" w:eastAsia="Noto Sans CJK SC"/>
                <w:b w:val="0"/>
                <w:sz w:val="19"/>
              </w:rPr>
              <w:t>重大客诉响应</w:t>
            </w:r>
          </w:p>
        </w:tc>
        <w:tc>
          <w:tcPr>
            <w:tcW w:type="dxa" w:w="1304"/>
            <w:vAlign w:val="center"/>
            <w:tcMar>
              <w:top w:w="90" w:type="dxa"/>
              <w:start w:w="100" w:type="dxa"/>
              <w:bottom w:w="90" w:type="dxa"/>
              <w:end w:w="100" w:type="dxa"/>
            </w:tcMar>
          </w:tcPr>
          <w:p>
            <w:pPr>
              <w:spacing w:after="0"/>
            </w:pPr>
            <w:r/>
            <w:r>
              <w:rPr>
                <w:rFonts w:ascii="Noto Sans CJK SC" w:hAnsi="Noto Sans CJK SC" w:eastAsia="Noto Sans CJK SC"/>
                <w:b w:val="0"/>
                <w:sz w:val="19"/>
              </w:rPr>
              <w:t>≤15分钟</w:t>
            </w:r>
          </w:p>
        </w:tc>
        <w:tc>
          <w:tcPr>
            <w:tcW w:type="dxa" w:w="2324"/>
            <w:vAlign w:val="center"/>
            <w:tcMar>
              <w:top w:w="90" w:type="dxa"/>
              <w:start w:w="100" w:type="dxa"/>
              <w:bottom w:w="90" w:type="dxa"/>
              <w:end w:w="100" w:type="dxa"/>
            </w:tcMar>
          </w:tcPr>
          <w:p>
            <w:pPr>
              <w:spacing w:after="0"/>
            </w:pPr>
            <w:r/>
            <w:r>
              <w:rPr>
                <w:rFonts w:ascii="Noto Sans CJK SC" w:hAnsi="Noto Sans CJK SC" w:eastAsia="Noto Sans CJK SC"/>
                <w:b w:val="0"/>
                <w:sz w:val="19"/>
              </w:rPr>
              <w:t>升级记录</w:t>
            </w:r>
          </w:p>
        </w:tc>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单次超时扣0.2%月费</w:t>
            </w:r>
          </w:p>
        </w:tc>
      </w:tr>
      <w:tr>
        <w:tc>
          <w:tcPr>
            <w:tcW w:type="dxa" w:w="1757"/>
            <w:vAlign w:val="center"/>
            <w:tcMar>
              <w:top w:w="90" w:type="dxa"/>
              <w:start w:w="100" w:type="dxa"/>
              <w:bottom w:w="90" w:type="dxa"/>
              <w:end w:w="100" w:type="dxa"/>
            </w:tcMar>
          </w:tcPr>
          <w:p>
            <w:pPr>
              <w:spacing w:after="0"/>
            </w:pPr>
            <w:r/>
            <w:r>
              <w:rPr>
                <w:rFonts w:ascii="Noto Sans CJK SC" w:hAnsi="Noto Sans CJK SC" w:eastAsia="Noto Sans CJK SC"/>
                <w:b w:val="0"/>
                <w:sz w:val="19"/>
              </w:rPr>
              <w:t>重大数据/安全事件</w:t>
            </w:r>
          </w:p>
        </w:tc>
        <w:tc>
          <w:tcPr>
            <w:tcW w:type="dxa" w:w="1304"/>
            <w:vAlign w:val="center"/>
            <w:tcMar>
              <w:top w:w="90" w:type="dxa"/>
              <w:start w:w="100" w:type="dxa"/>
              <w:bottom w:w="90" w:type="dxa"/>
              <w:end w:w="100" w:type="dxa"/>
            </w:tcMar>
          </w:tcPr>
          <w:p>
            <w:pPr>
              <w:spacing w:after="0"/>
            </w:pPr>
            <w:r/>
            <w:r>
              <w:rPr>
                <w:rFonts w:ascii="Noto Sans CJK SC" w:hAnsi="Noto Sans CJK SC" w:eastAsia="Noto Sans CJK SC"/>
                <w:b w:val="0"/>
                <w:sz w:val="19"/>
              </w:rPr>
              <w:t>0</w:t>
            </w:r>
          </w:p>
        </w:tc>
        <w:tc>
          <w:tcPr>
            <w:tcW w:type="dxa" w:w="2324"/>
            <w:vAlign w:val="center"/>
            <w:tcMar>
              <w:top w:w="90" w:type="dxa"/>
              <w:start w:w="100" w:type="dxa"/>
              <w:bottom w:w="90" w:type="dxa"/>
              <w:end w:w="100" w:type="dxa"/>
            </w:tcMar>
          </w:tcPr>
          <w:p>
            <w:pPr>
              <w:spacing w:after="0"/>
            </w:pPr>
            <w:r/>
            <w:r>
              <w:rPr>
                <w:rFonts w:ascii="Noto Sans CJK SC" w:hAnsi="Noto Sans CJK SC" w:eastAsia="Noto Sans CJK SC"/>
                <w:b w:val="0"/>
                <w:sz w:val="19"/>
              </w:rPr>
              <w:t>事件记录</w:t>
            </w:r>
          </w:p>
        </w:tc>
        <w:tc>
          <w:tcPr>
            <w:tcW w:type="dxa" w:w="1871"/>
            <w:vAlign w:val="center"/>
            <w:tcMar>
              <w:top w:w="90" w:type="dxa"/>
              <w:start w:w="100" w:type="dxa"/>
              <w:bottom w:w="90" w:type="dxa"/>
              <w:end w:w="100" w:type="dxa"/>
            </w:tcMar>
          </w:tcPr>
          <w:p>
            <w:pPr>
              <w:spacing w:after="0"/>
            </w:pPr>
            <w:r/>
            <w:r>
              <w:rPr>
                <w:rFonts w:ascii="Noto Sans CJK SC" w:hAnsi="Noto Sans CJK SC" w:eastAsia="Noto Sans CJK SC"/>
                <w:b w:val="0"/>
                <w:sz w:val="19"/>
              </w:rPr>
              <w:t>按主合同处理，不另计服务信用</w:t>
            </w:r>
          </w:p>
        </w:tc>
      </w:tr>
    </w:tbl>
    <w:p>
      <w:pPr>
        <w:spacing w:after="0"/>
      </w:pPr>
    </w:p>
    <w:p>
      <w:pPr>
        <w:spacing w:line="324" w:lineRule="auto" w:after="100"/>
      </w:pPr>
      <w:r>
        <w:rPr>
          <w:rFonts w:ascii="Noto Sans CJK SC" w:hAnsi="Noto Sans CJK SC" w:eastAsia="Noto Sans CJK SC"/>
          <w:b/>
          <w:sz w:val="21"/>
        </w:rPr>
        <w:t>说明：除重大数据/安全事件外，每月全部服务信用累计上限为当月固定服务费的5%；服务信用为SLA未达标的唯一救济。</w:t>
      </w:r>
    </w:p>
    <w:p>
      <w:pPr>
        <w:pStyle w:val="Heading1"/>
        <w:keepNext/>
        <w:spacing w:before="200" w:after="100"/>
      </w:pPr>
      <w:r>
        <w:rPr>
          <w:rFonts w:ascii="Noto Sans CJK SC" w:hAnsi="Noto Sans CJK SC" w:eastAsia="Noto Sans CJK SC"/>
          <w:b/>
          <w:sz w:val="28"/>
        </w:rPr>
        <w:t>附件三：价格与付款</w:t>
      </w:r>
    </w:p>
    <w:tbl>
      <w:tblPr>
        <w:tblStyle w:val="TableGrid"/>
        <w:tblW w:type="auto" w:w="0"/>
        <w:jc w:val="center"/>
        <w:tblLook w:firstColumn="1" w:firstRow="1" w:lastColumn="0" w:lastRow="0" w:noHBand="0" w:noVBand="1" w:val="04A0"/>
      </w:tblPr>
      <w:tblGrid>
        <w:gridCol w:w="4816"/>
        <w:gridCol w:w="4816"/>
      </w:tblGrid>
      <w:tr>
        <w:tc>
          <w:tcPr>
            <w:tcW w:type="dxa" w:w="2268"/>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项目</w:t>
            </w:r>
          </w:p>
        </w:tc>
        <w:tc>
          <w:tcPr>
            <w:tcW w:type="dxa" w:w="4989"/>
            <w:vAlign w:val="center"/>
            <w:tcMar>
              <w:top w:w="90" w:type="dxa"/>
              <w:start w:w="100" w:type="dxa"/>
              <w:bottom w:w="90" w:type="dxa"/>
              <w:end w:w="100" w:type="dxa"/>
            </w:tcMar>
            <w:shd w:fill="E7EAF0"/>
          </w:tcPr>
          <w:p>
            <w:pPr>
              <w:spacing w:after="0"/>
            </w:pPr>
            <w:r/>
            <w:r>
              <w:rPr>
                <w:rFonts w:ascii="Noto Sans CJK SC" w:hAnsi="Noto Sans CJK SC" w:eastAsia="Noto Sans CJK SC"/>
                <w:b/>
                <w:sz w:val="19"/>
              </w:rPr>
              <w:t>价格/规则</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基础服务费</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285,000元/月，不含增值税</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基础配置</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18名全职服务人员，其中驻场不少于6名</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新增人员</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15,800元/人/月，不含税；不足整月按实际出勤工作日折算</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超量工单</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在18人配置不变的情况下，超过26,000单/月部分另按8元/单（不含税）计费</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付款周期</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甲方开具发票后10日内</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逾期违约金</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应付未付金额的0.05%/日</w:t>
            </w:r>
          </w:p>
        </w:tc>
      </w:tr>
      <w:tr>
        <w:tc>
          <w:tcPr>
            <w:tcW w:type="dxa" w:w="2268"/>
            <w:vAlign w:val="center"/>
            <w:tcMar>
              <w:top w:w="90" w:type="dxa"/>
              <w:start w:w="100" w:type="dxa"/>
              <w:bottom w:w="90" w:type="dxa"/>
              <w:end w:w="100" w:type="dxa"/>
            </w:tcMar>
          </w:tcPr>
          <w:p>
            <w:pPr>
              <w:spacing w:after="0"/>
            </w:pPr>
            <w:r/>
            <w:r>
              <w:rPr>
                <w:rFonts w:ascii="Noto Sans CJK SC" w:hAnsi="Noto Sans CJK SC" w:eastAsia="Noto Sans CJK SC"/>
                <w:b w:val="0"/>
                <w:sz w:val="19"/>
              </w:rPr>
              <w:t>年度价格调整</w:t>
            </w:r>
          </w:p>
        </w:tc>
        <w:tc>
          <w:tcPr>
            <w:tcW w:type="dxa" w:w="4989"/>
            <w:vAlign w:val="center"/>
            <w:tcMar>
              <w:top w:w="90" w:type="dxa"/>
              <w:start w:w="100" w:type="dxa"/>
              <w:bottom w:w="90" w:type="dxa"/>
              <w:end w:w="100" w:type="dxa"/>
            </w:tcMar>
          </w:tcPr>
          <w:p>
            <w:pPr>
              <w:spacing w:after="0"/>
            </w:pPr>
            <w:r/>
            <w:r>
              <w:rPr>
                <w:rFonts w:ascii="Noto Sans CJK SC" w:hAnsi="Noto Sans CJK SC" w:eastAsia="Noto Sans CJK SC"/>
                <w:b w:val="0"/>
                <w:sz w:val="19"/>
              </w:rPr>
              <w:t>甲方可因人工/社保/税费等成本变化调整下一年度价格，年度幅度不超过8%</w:t>
            </w:r>
          </w:p>
        </w:tc>
      </w:tr>
    </w:tbl>
    <w:p>
      <w:pPr>
        <w:spacing w:after="0"/>
      </w:pPr>
    </w:p>
    <w:p>
      <w:r>
        <w:br w:type="page"/>
      </w:r>
    </w:p>
    <w:p>
      <w:pPr>
        <w:pStyle w:val="Heading1"/>
        <w:keepNext/>
        <w:spacing w:before="200" w:after="100"/>
      </w:pPr>
      <w:r>
        <w:rPr>
          <w:rFonts w:ascii="Noto Sans CJK SC" w:hAnsi="Noto Sans CJK SC" w:eastAsia="Noto Sans CJK SC"/>
          <w:b/>
          <w:sz w:val="28"/>
        </w:rPr>
        <w:t>附件四：数据与信息安全要求</w:t>
      </w:r>
    </w:p>
    <w:p>
      <w:pPr>
        <w:spacing w:line="324" w:lineRule="auto" w:after="100"/>
        <w:ind w:left="0" w:firstLine="0"/>
      </w:pPr>
      <w:r>
        <w:rPr>
          <w:rFonts w:ascii="Noto Sans CJK SC" w:hAnsi="Noto Sans CJK SC" w:eastAsia="Noto Sans CJK SC"/>
          <w:b/>
          <w:sz w:val="21"/>
        </w:rPr>
        <w:t xml:space="preserve">1. </w:t>
      </w:r>
      <w:r>
        <w:rPr>
          <w:rFonts w:ascii="Noto Sans CJK SC" w:hAnsi="Noto Sans CJK SC" w:eastAsia="Noto Sans CJK SC"/>
          <w:sz w:val="21"/>
        </w:rPr>
        <w:t>乙方提供或允许甲方访问的数据可能包括客户姓名、手机号、收货地址、设备序列号、售后工单内容、回访记录及系统操作日志。</w:t>
      </w:r>
    </w:p>
    <w:p>
      <w:pPr>
        <w:spacing w:line="324" w:lineRule="auto" w:after="100"/>
        <w:ind w:left="0" w:firstLine="0"/>
      </w:pPr>
      <w:r>
        <w:rPr>
          <w:rFonts w:ascii="Noto Sans CJK SC" w:hAnsi="Noto Sans CJK SC" w:eastAsia="Noto Sans CJK SC"/>
          <w:b/>
          <w:sz w:val="21"/>
        </w:rPr>
        <w:t xml:space="preserve">2. </w:t>
      </w:r>
      <w:r>
        <w:rPr>
          <w:rFonts w:ascii="Noto Sans CJK SC" w:hAnsi="Noto Sans CJK SC" w:eastAsia="Noto Sans CJK SC"/>
          <w:sz w:val="21"/>
        </w:rPr>
        <w:t>甲方仅在提供服务、质量分析、产品与算法改进等本协议允许目的内处理相关数据；可对数据进行去标识化、匿名化或汇总处理。</w:t>
      </w:r>
    </w:p>
    <w:p>
      <w:pPr>
        <w:spacing w:line="324" w:lineRule="auto" w:after="100"/>
        <w:ind w:left="0" w:firstLine="0"/>
      </w:pPr>
      <w:r>
        <w:rPr>
          <w:rFonts w:ascii="Noto Sans CJK SC" w:hAnsi="Noto Sans CJK SC" w:eastAsia="Noto Sans CJK SC"/>
          <w:b/>
          <w:sz w:val="21"/>
        </w:rPr>
        <w:t xml:space="preserve">3. </w:t>
      </w:r>
      <w:r>
        <w:rPr>
          <w:rFonts w:ascii="Noto Sans CJK SC" w:hAnsi="Noto Sans CJK SC" w:eastAsia="Noto Sans CJK SC"/>
          <w:sz w:val="21"/>
        </w:rPr>
        <w:t>甲方可使用关联公司、云基础设施、自动化工具及人工智能服务商协助提供服务，应采取合理措施要求第三方履行保密和安全义务。</w:t>
      </w:r>
    </w:p>
    <w:p>
      <w:pPr>
        <w:spacing w:line="324" w:lineRule="auto" w:after="100"/>
        <w:ind w:left="0" w:firstLine="0"/>
      </w:pPr>
      <w:r>
        <w:rPr>
          <w:rFonts w:ascii="Noto Sans CJK SC" w:hAnsi="Noto Sans CJK SC" w:eastAsia="Noto Sans CJK SC"/>
          <w:b/>
          <w:sz w:val="21"/>
        </w:rPr>
        <w:t xml:space="preserve">4. </w:t>
      </w:r>
      <w:r>
        <w:rPr>
          <w:rFonts w:ascii="Noto Sans CJK SC" w:hAnsi="Noto Sans CJK SC" w:eastAsia="Noto Sans CJK SC"/>
          <w:sz w:val="21"/>
        </w:rPr>
        <w:t>甲方应采取访问控制、日志、终端安全、账号管理及人员保密措施。重大安全事件在知悉后48小时内通知乙方。</w:t>
      </w:r>
    </w:p>
    <w:p>
      <w:pPr>
        <w:spacing w:line="324" w:lineRule="auto" w:after="100"/>
        <w:ind w:left="0" w:firstLine="0"/>
      </w:pPr>
      <w:r>
        <w:rPr>
          <w:rFonts w:ascii="Noto Sans CJK SC" w:hAnsi="Noto Sans CJK SC" w:eastAsia="Noto Sans CJK SC"/>
          <w:b/>
          <w:sz w:val="21"/>
        </w:rPr>
        <w:t xml:space="preserve">5. </w:t>
      </w:r>
      <w:r>
        <w:rPr>
          <w:rFonts w:ascii="Noto Sans CJK SC" w:hAnsi="Noto Sans CJK SC" w:eastAsia="Noto Sans CJK SC"/>
          <w:sz w:val="21"/>
        </w:rPr>
        <w:t>协议终止后60日内返还或删除乙方数据；备份、法定留存、审计和争议处理所需副本可继续保留至相关目的结束。</w:t>
      </w:r>
    </w:p>
    <w:p>
      <w:pPr>
        <w:spacing w:line="324" w:lineRule="auto" w:after="100"/>
        <w:ind w:left="0" w:firstLine="0"/>
      </w:pPr>
      <w:r>
        <w:rPr>
          <w:rFonts w:ascii="Noto Sans CJK SC" w:hAnsi="Noto Sans CJK SC" w:eastAsia="Noto Sans CJK SC"/>
          <w:b/>
          <w:sz w:val="21"/>
        </w:rPr>
        <w:t xml:space="preserve">6. </w:t>
      </w:r>
      <w:r>
        <w:rPr>
          <w:rFonts w:ascii="Noto Sans CJK SC" w:hAnsi="Noto Sans CJK SC" w:eastAsia="Noto Sans CJK SC"/>
          <w:sz w:val="21"/>
        </w:rPr>
        <w:t>乙方审计每年一次、提前15个工作日通知；重大事件或监管调查除外。</w:t>
      </w:r>
    </w:p>
    <w:sectPr w:rsidR="00FC693F" w:rsidRPr="0006063C" w:rsidSect="00034616">
      <w:headerReference w:type="default" r:id="rId9"/>
      <w:footerReference w:type="default" r:id="rId10"/>
      <w:pgSz w:w="12240" w:h="15840"/>
      <w:pgMar w:top="1134" w:right="1304" w:bottom="1020"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SC" w:hAnsi="Noto Sans CJK SC" w:eastAsia="Noto Sans CJK SC"/>
        <w:sz w:val="17"/>
      </w:rPr>
      <w:t xml:space="preserve">客户运营支持服务协议  ·  第 </w:t>
    </w:r>
    <w:r>
      <w:rPr>
        <w:rFonts w:ascii="Noto Sans CJK SC" w:hAnsi="Noto Sans CJK SC" w:eastAsia="Noto Sans CJK SC"/>
        <w:sz w:val="18"/>
      </w:rPr>
      <w:fldChar w:fldCharType="begin"/>
      <w:instrText xml:space="preserve"> PAGE </w:instrText>
      <w:fldChar w:fldCharType="end"/>
    </w:r>
    <w:r>
      <w:rPr>
        <w:rFonts w:ascii="Noto Sans CJK SC" w:hAnsi="Noto Sans CJK SC" w:eastAsia="Noto Sans CJK SC"/>
        <w:sz w:val="17"/>
      </w:rPr>
      <w:t xml:space="preserve"> 页</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Noto Sans CJK SC" w:hAnsi="Noto Sans CJK SC" w:eastAsia="Noto Sans CJK SC"/>
        <w:sz w:val="17"/>
      </w:rPr>
      <w:t>远恒运营服务（北京）有限公司 | 客户运营支持服务协议</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Noto Sans CJK SC" w:hAnsi="Noto Sans CJK SC" w:eastAsia="Noto Sans CJK SC"/>
      <w:b w:val="0"/>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Noto Sans CJK SC" w:hAnsi="Noto Sans CJK SC" w:eastAsia="Noto Sans CJK SC"/>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Noto Sans CJK SC" w:hAnsi="Noto Sans CJK SC" w:eastAsia="Noto Sans CJK SC"/>
      <w:b/>
      <w:bCs/>
      <w:color w:val="4F81BD" w:themeColor="accent1"/>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