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专家技术比对意见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匿名重建件｜专家辅助意见</w:t>
      </w:r>
    </w:p>
    <w:p>
      <w:r>
        <w:rPr>
          <w:rFonts w:ascii="Noto Sans CJK SC" w:hAnsi="Noto Sans CJK SC" w:eastAsia="Noto Sans CJK SC" w:cs="Noto Sans CJK SC"/>
          <w:b/>
          <w:sz w:val="21"/>
        </w:rPr>
        <w:t>委托事项：</w:t>
      </w:r>
      <w:r>
        <w:rPr>
          <w:rFonts w:ascii="Noto Sans CJK SC" w:hAnsi="Noto Sans CJK SC" w:eastAsia="Noto Sans CJK SC" w:cs="Noto Sans CJK SC"/>
          <w:b w:val="0"/>
          <w:sz w:val="21"/>
        </w:rPr>
        <w:t>比较两款人像漫画化模型的结构和参数特征</w:t>
      </w:r>
    </w:p>
    <w:p>
      <w:r>
        <w:rPr>
          <w:rFonts w:ascii="Noto Sans CJK SC" w:hAnsi="Noto Sans CJK SC" w:eastAsia="Noto Sans CJK SC" w:cs="Noto Sans CJK SC"/>
          <w:b/>
          <w:sz w:val="21"/>
        </w:rPr>
        <w:t>材料范围：</w:t>
      </w:r>
      <w:r>
        <w:rPr>
          <w:rFonts w:ascii="Noto Sans CJK SC" w:hAnsi="Noto Sans CJK SC" w:eastAsia="Noto Sans CJK SC" w:cs="Noto Sans CJK SC"/>
          <w:b w:val="0"/>
          <w:sz w:val="21"/>
        </w:rPr>
        <w:t>双方公开发布应用安装包中提取的模型对象；其他公开GAN模型的对照资料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一、比对范围与方法</w:t>
      </w:r>
    </w:p>
    <w:p>
      <w:r>
        <w:rPr>
          <w:rFonts w:ascii="Noto Sans CJK SC" w:hAnsi="Noto Sans CJK SC" w:eastAsia="Noto Sans CJK SC" w:cs="Noto Sans CJK SC"/>
        </w:rPr>
        <w:t>比对围绕网络整体结构、子网络连接关系、卷积层数量和相关数据、升采样位置、分辨率、激活函数以及若干差异配置展开。原始模型、比对脚本和完整底稿未纳入测试包。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二、主要共同点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两模型整体网络结构高度一致；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非相邻子网络之间的连接关系及相关子网络结构一致；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卷积层数量一致，升采样次数与位置一致；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在数十个卷积层中，绝大多数相关数据一致，汇总相似度为九成以上；</w:t>
      </w:r>
    </w:p>
    <w:p>
      <w:pPr>
        <w:pStyle w:val="ListBullet"/>
      </w:pPr>
      <w:r>
        <w:rPr>
          <w:rFonts w:ascii="Noto Sans CJK SC" w:hAnsi="Noto Sans CJK SC" w:eastAsia="Noto Sans CJK SC" w:cs="Noto Sans CJK SC"/>
          <w:b w:val="0"/>
          <w:sz w:val="21"/>
        </w:rPr>
        <w:t>分辨率及多项激活函数配置相同或相近。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三、主要差异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部分卷积层的通道数不同；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一款模型未设置BatchNorm，部分连接位置未使用ReLU，并有HardSwish替代；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升采样插值方法不同；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输入数据结构存在差异。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四、差异影响意见</w:t>
      </w:r>
    </w:p>
    <w:p>
      <w:r>
        <w:rPr>
          <w:rFonts w:ascii="Noto Sans CJK SC" w:hAnsi="Noto Sans CJK SC" w:eastAsia="Noto Sans CJK SC" w:cs="Noto Sans CJK SC"/>
        </w:rPr>
        <w:t>从本次比对所覆盖的技术项目看，上述差异对整体网络结构、性能或最终漫画化效果的影响较小或不明显。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五、意见范围</w:t>
      </w:r>
    </w:p>
    <w:p>
      <w:r>
        <w:rPr>
          <w:rFonts w:ascii="Noto Sans CJK SC" w:hAnsi="Noto Sans CJK SC" w:eastAsia="Noto Sans CJK SC" w:cs="Noto Sans CJK SC"/>
        </w:rPr>
        <w:t>本文件为专家辅助意见匿名重建件，不是司法鉴定报告。专家身份、签名、机构信息、原始模型文件、逐层参数、脚本和完整附件均未纳入测试包。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