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40"/>
        </w:rPr>
        <w:t>模型文件与安装包关系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技术说明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对象关系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16"/>
        <w:gridCol w:w="4816"/>
      </w:tblGrid>
      <w:tr>
        <w:trPr>
          <w:tblHeader w:val="true"/>
        </w:trPr>
        <w:tc>
          <w:tcPr>
            <w:tcW w:type="dxa" w:w="2551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对象</w:t>
            </w:r>
          </w:p>
        </w:tc>
        <w:tc>
          <w:tcPr>
            <w:tcW w:type="dxa" w:w="5953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8"/>
              </w:rPr>
              <w:t>说明</w:t>
            </w:r>
          </w:p>
        </w:tc>
      </w:tr>
      <w:tr>
        <w:tc>
          <w:tcPr>
            <w:tcW w:type="dxa" w:w="2551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应用安装包</w:t>
            </w:r>
          </w:p>
        </w:tc>
        <w:tc>
          <w:tcPr>
            <w:tcW w:type="dxa" w:w="5953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用户可公开取得的移动应用安装文件</w:t>
            </w:r>
          </w:p>
        </w:tc>
      </w:tr>
      <w:tr>
        <w:tc>
          <w:tcPr>
            <w:tcW w:type="dxa" w:w="2551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模型相关文件</w:t>
            </w:r>
          </w:p>
        </w:tc>
        <w:tc>
          <w:tcPr>
            <w:tcW w:type="dxa" w:w="5953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安装包内用于支持漫画化处理的文件；真实文件名未公开</w:t>
            </w:r>
          </w:p>
        </w:tc>
      </w:tr>
      <w:tr>
        <w:tc>
          <w:tcPr>
            <w:tcW w:type="dxa" w:w="2551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终端运行</w:t>
            </w:r>
          </w:p>
        </w:tc>
        <w:tc>
          <w:tcPr>
            <w:tcW w:type="dxa" w:w="5953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用户触发特效时在终端参与处理</w:t>
            </w:r>
          </w:p>
        </w:tc>
      </w:tr>
      <w:tr>
        <w:tc>
          <w:tcPr>
            <w:tcW w:type="dxa" w:w="2551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比对对象</w:t>
            </w:r>
          </w:p>
        </w:tc>
        <w:tc>
          <w:tcPr>
            <w:tcW w:type="dxa" w:w="5953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8"/>
              </w:rPr>
              <w:t>从双方公开发布安装包中取得的模型对象</w:t>
            </w:r>
          </w:p>
        </w:tc>
      </w:tr>
    </w:tbl>
    <w:p>
      <w:pPr>
        <w:pStyle w:val="Heading1"/>
      </w:pPr>
      <w:r>
        <w:rPr>
          <w:rFonts w:ascii="Noto Sans CJK SC" w:hAnsi="Noto Sans CJK SC" w:eastAsia="Noto Sans CJK SC" w:cs="Noto Sans CJK SC"/>
        </w:rPr>
        <w:t>材料边界</w:t>
      </w:r>
    </w:p>
    <w:p>
      <w:r>
        <w:rPr>
          <w:rFonts w:ascii="Noto Sans CJK SC" w:hAnsi="Noto Sans CJK SC" w:eastAsia="Noto Sans CJK SC" w:cs="Noto Sans CJK SC"/>
        </w:rPr>
        <w:t>本说明不包含真实文件路径、模型权重文件、反编译脚本、加密方式、密钥、哈希值或原始安装包。相关附件均标注为未取得。</w:t>
      </w:r>
    </w:p>
    <w:sectPr w:rsidR="00FC693F" w:rsidRPr="0006063C" w:rsidSect="00034616">
      <w:footerReference w:type="default" r:id="rId9"/>
      <w:pgSz w:w="12240" w:h="15840"/>
      <w:pgMar w:top="1304" w:right="1247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24" w:lineRule="auto"/>
    </w:pPr>
    <w:rPr>
      <w:rFonts w:ascii="Noto Sans CJK SC" w:hAnsi="Noto Sans CJK SC" w:eastAsia="Noto Sans CJK SC" w:cs="Noto Sans CJK S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