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模型终端部署与提取过程说明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当事人技术人员说明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一、说明对象</w:t>
      </w:r>
    </w:p>
    <w:p>
      <w:r>
        <w:rPr>
          <w:rFonts w:ascii="Noto Sans CJK SC" w:hAnsi="Noto Sans CJK SC" w:eastAsia="Noto Sans CJK SC" w:cs="Noto Sans CJK SC"/>
        </w:rPr>
        <w:t>本说明涉及“漫映盒”与“像素弧”公开发布安装包中的人像漫画化模型文件。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二、部署与运行关系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移动应用安装包包含支持人像漫画化功能运行的模型相关文件；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用户在终端触发相应特效后，模型可在终端侧参与处理；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技术比对所使用的对象来自公开发布的应用安装包。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三、提取材料状态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16"/>
        <w:gridCol w:w="4816"/>
      </w:tblGrid>
      <w:tr>
        <w:trPr>
          <w:tblHeader w:val="true"/>
        </w:trPr>
        <w:tc>
          <w:tcPr>
            <w:tcW w:type="dxa" w:w="3402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项目</w:t>
            </w:r>
          </w:p>
        </w:tc>
        <w:tc>
          <w:tcPr>
            <w:tcW w:type="dxa" w:w="5102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状态</w:t>
            </w:r>
          </w:p>
        </w:tc>
      </w:tr>
      <w:tr>
        <w:tc>
          <w:tcPr>
            <w:tcW w:type="dxa" w:w="34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安装包来源说明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公开发布版本</w:t>
            </w:r>
          </w:p>
        </w:tc>
      </w:tr>
      <w:tr>
        <w:tc>
          <w:tcPr>
            <w:tcW w:type="dxa" w:w="34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提取步骤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高层步骤已说明</w:t>
            </w:r>
          </w:p>
        </w:tc>
      </w:tr>
      <w:tr>
        <w:tc>
          <w:tcPr>
            <w:tcW w:type="dxa" w:w="34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具体脚本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[附件未取得]</w:t>
            </w:r>
          </w:p>
        </w:tc>
      </w:tr>
      <w:tr>
        <w:tc>
          <w:tcPr>
            <w:tcW w:type="dxa" w:w="34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安装包或模型哈希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[公开材料未披露]</w:t>
            </w:r>
          </w:p>
        </w:tc>
      </w:tr>
      <w:tr>
        <w:tc>
          <w:tcPr>
            <w:tcW w:type="dxa" w:w="34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文件目录与密钥</w:t>
            </w:r>
          </w:p>
        </w:tc>
        <w:tc>
          <w:tcPr>
            <w:tcW w:type="dxa" w:w="5102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[公开材料未披露]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