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独立研发说明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模拟当事人材料</w:t>
      </w:r>
    </w:p>
    <w:p>
      <w:r>
        <w:rPr>
          <w:rFonts w:ascii="Noto Sans CJK SC" w:hAnsi="Noto Sans CJK SC" w:eastAsia="Noto Sans CJK SC" w:cs="Noto Sans CJK SC"/>
          <w:b/>
          <w:sz w:val="21"/>
        </w:rPr>
        <w:t>提交方：</w:t>
      </w:r>
      <w:r>
        <w:rPr>
          <w:rFonts w:ascii="Noto Sans CJK SC" w:hAnsi="Noto Sans CJK SC" w:eastAsia="Noto Sans CJK SC" w:cs="Noto Sans CJK SC"/>
          <w:b w:val="0"/>
          <w:sz w:val="21"/>
        </w:rPr>
        <w:t>镜屿影像科技有限公司（测试代号）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说明</w:t>
      </w:r>
    </w:p>
    <w:p>
      <w:r>
        <w:rPr>
          <w:rFonts w:ascii="Noto Sans CJK SC" w:hAnsi="Noto Sans CJK SC" w:eastAsia="Noto Sans CJK SC" w:cs="Noto Sans CJK SC"/>
        </w:rPr>
        <w:t>我方具有图像算法和移动应用研发能力。“轻漫人像”基于公开可获得的GAN类技术思路进行开发，我方未取得或使用对方的内部源代码、训练脚本或非公开模型文件。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技术路线主张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GAN类图像转换模型存在公开技术框架和常见组件；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不同团队可能采用相近网络模块、卷积层和升采样思路；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我方模型在归一化设置、激活函数、升采样方法和部分通道配置上存在差异；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具备相应团队和数据条件时，类似功能可在数月内完成。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随附材料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16"/>
        <w:gridCol w:w="4816"/>
      </w:tblGrid>
      <w:tr>
        <w:trPr>
          <w:tblHeader w:val="true"/>
        </w:trPr>
        <w:tc>
          <w:tcPr>
            <w:tcW w:type="dxa" w:w="4535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附件</w:t>
            </w:r>
          </w:p>
        </w:tc>
        <w:tc>
          <w:tcPr>
            <w:tcW w:type="dxa" w:w="3969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状态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研发材料目录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已列目录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完整训练数据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连续模型版本文件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与最终上线模型的逐项对应说明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[公开材料未披露]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