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80"/>
        <w:jc w:val="center"/>
      </w:pPr>
      <w:r>
        <w:rPr>
          <w:rFonts w:ascii="Times New Roman" w:hAnsi="Times New Roman" w:eastAsia="Noto Serif CJK SC"/>
          <w:b/>
          <w:sz w:val="36"/>
        </w:rPr>
        <w:t>猎头服务合作协议</w:t>
      </w:r>
    </w:p>
    <w:p>
      <w:pPr>
        <w:widowControl/>
        <w:spacing w:after="200"/>
        <w:jc w:val="center"/>
      </w:pPr>
      <w:r>
        <w:rPr>
          <w:rFonts w:ascii="Times New Roman" w:hAnsi="Times New Roman" w:eastAsia="Noto Serif CJK SC"/>
          <w:sz w:val="22"/>
        </w:rPr>
      </w:r>
    </w:p>
    <w:tbl>
      <w:tblPr>
        <w:tblW w:type="auto" w:w="0"/>
        <w:jc w:val="center"/>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65"/>
        <w:gridCol w:w="4365"/>
      </w:tblGrid>
      <w:tr>
        <w:tc>
          <w:tcPr>
            <w:tcW w:type="dxa" w:w="4564"/>
            <w:vAlign w:val="center"/>
            <w:tcMar>
              <w:top w:w="70" w:type="dxa"/>
              <w:start w:w="100" w:type="dxa"/>
              <w:bottom w:w="70" w:type="dxa"/>
              <w:end w:w="100" w:type="dxa"/>
            </w:tcMar>
            <w:shd w:fill="F2F2F2"/>
          </w:tcPr>
          <w:p>
            <w:pPr>
              <w:spacing w:lineRule="exact" w:line="340" w:after="0"/>
            </w:pPr>
            <w:r>
              <w:rPr>
                <w:rFonts w:ascii="Times New Roman" w:hAnsi="Times New Roman" w:eastAsia="Noto Serif CJK SC"/>
                <w:b/>
                <w:sz w:val="21"/>
              </w:rPr>
              <w:t>甲方：北京启岳智能科技有限公司</w:t>
            </w:r>
          </w:p>
        </w:tc>
        <w:tc>
          <w:tcPr>
            <w:tcW w:type="dxa" w:w="4564"/>
            <w:vAlign w:val="center"/>
            <w:tcMar>
              <w:top w:w="70" w:type="dxa"/>
              <w:start w:w="100" w:type="dxa"/>
              <w:bottom w:w="70" w:type="dxa"/>
              <w:end w:w="100" w:type="dxa"/>
            </w:tcMar>
            <w:shd w:fill="F2F2F2"/>
          </w:tcPr>
          <w:p>
            <w:pPr>
              <w:spacing w:lineRule="exact" w:line="340" w:after="0"/>
            </w:pPr>
            <w:r>
              <w:rPr>
                <w:rFonts w:ascii="Times New Roman" w:hAnsi="Times New Roman" w:eastAsia="Noto Serif CJK SC"/>
                <w:b/>
                <w:sz w:val="21"/>
              </w:rPr>
              <w:t>乙方：上海卓衡人才咨询有限公司</w:t>
            </w:r>
          </w:p>
        </w:tc>
      </w:tr>
      <w:tr>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统一社会信用代码：91110108MA8A2X5K3R</w:t>
            </w:r>
          </w:p>
        </w:tc>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统一社会信用代码：91310115MA7B6Q2N8U</w:t>
            </w:r>
          </w:p>
        </w:tc>
      </w:tr>
      <w:tr>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注册地址：北京市海淀区知春路68号10层</w:t>
            </w:r>
          </w:p>
        </w:tc>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注册地址：上海市浦东新区世纪大道88号15层</w:t>
            </w:r>
          </w:p>
        </w:tc>
      </w:tr>
      <w:tr>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联系人：林昕</w:t>
            </w:r>
          </w:p>
        </w:tc>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联系人：周岚</w:t>
            </w:r>
          </w:p>
        </w:tc>
      </w:tr>
      <w:tr>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联系电话：13800001086</w:t>
            </w:r>
          </w:p>
        </w:tc>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联系电话：13900002157</w:t>
            </w:r>
          </w:p>
        </w:tc>
      </w:tr>
      <w:tr>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电子邮箱：legal@example.com</w:t>
            </w:r>
          </w:p>
        </w:tc>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电子邮箱：service@example.com</w:t>
            </w:r>
          </w:p>
        </w:tc>
      </w:tr>
      <w:tr>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通讯地址：同注册地址</w:t>
            </w:r>
          </w:p>
        </w:tc>
        <w:tc>
          <w:tcPr>
            <w:tcW w:type="dxa" w:w="4564"/>
            <w:vAlign w:val="center"/>
            <w:tcMar>
              <w:top w:w="70" w:type="dxa"/>
              <w:start w:w="100" w:type="dxa"/>
              <w:bottom w:w="70" w:type="dxa"/>
              <w:end w:w="100" w:type="dxa"/>
            </w:tcMar>
          </w:tcPr>
          <w:p>
            <w:pPr>
              <w:spacing w:lineRule="exact" w:line="340" w:after="0"/>
            </w:pPr>
            <w:r>
              <w:rPr>
                <w:rFonts w:ascii="Times New Roman" w:hAnsi="Times New Roman" w:eastAsia="Noto Serif CJK SC"/>
                <w:b w:val="0"/>
                <w:sz w:val="21"/>
              </w:rPr>
              <w:t>通讯地址：同注册地址</w:t>
            </w:r>
          </w:p>
        </w:tc>
      </w:tr>
    </w:tbl>
    <w:p>
      <w:pPr>
        <w:widowControl/>
        <w:spacing w:after="0"/>
      </w:pPr>
    </w:p>
    <w:p>
      <w:pPr>
        <w:widowControl/>
        <w:spacing w:after="100"/>
        <w:ind w:firstLine="0"/>
      </w:pPr>
      <w:r>
        <w:rPr>
          <w:rFonts w:ascii="Times New Roman" w:hAnsi="Times New Roman" w:eastAsia="Noto Serif CJK SC"/>
          <w:sz w:val="22"/>
        </w:rPr>
        <w:t>鉴于：甲方因业务发展需要，拟委托专业人力资源服务机构提供高级人才寻访及招聘相关服务；乙方声明其具有开展本协议项下服务所需的专业能力、人员和合法有效的经营资质；双方根据《中华人民共和国民法典》《中华人民共和国个人信息保护法》《人力资源市场暂行条例》《人力资源服务机构管理规定》等法律法规，经平等协商，就猎头服务合作事宜达成本协议。</w:t>
      </w:r>
    </w:p>
    <w:p>
      <w:pPr>
        <w:keepNext/>
        <w:widowControl/>
        <w:spacing w:before="140" w:after="60"/>
      </w:pPr>
      <w:r>
        <w:rPr>
          <w:rFonts w:ascii="Times New Roman" w:hAnsi="Times New Roman" w:eastAsia="Noto Serif CJK SC"/>
          <w:b/>
          <w:sz w:val="24"/>
        </w:rPr>
        <w:t>第一条  定义及合作范围</w:t>
      </w:r>
    </w:p>
    <w:p>
      <w:pPr>
        <w:widowControl/>
        <w:spacing w:after="0"/>
        <w:ind w:firstLine="0"/>
      </w:pPr>
      <w:r>
        <w:rPr>
          <w:rFonts w:ascii="Times New Roman" w:hAnsi="Times New Roman" w:eastAsia="Noto Serif CJK SC"/>
          <w:sz w:val="22"/>
        </w:rPr>
        <w:t>1.1 本协议所称“猎头服务”，是指乙方根据甲方提出的招聘需求，为甲方提供人才寻访、候选人筛选、候选人推荐、招聘协调以及与此相关的辅助服务。</w:t>
      </w:r>
    </w:p>
    <w:p>
      <w:pPr>
        <w:widowControl/>
        <w:spacing w:after="0"/>
        <w:ind w:firstLine="0"/>
      </w:pPr>
      <w:r>
        <w:rPr>
          <w:rFonts w:ascii="Times New Roman" w:hAnsi="Times New Roman" w:eastAsia="Noto Serif CJK SC"/>
          <w:sz w:val="22"/>
        </w:rPr>
        <w:t>1.2 “候选人”是指乙方根据甲方具体职位需求向甲方推荐的自然人。</w:t>
      </w:r>
    </w:p>
    <w:p>
      <w:pPr>
        <w:widowControl/>
        <w:spacing w:after="0"/>
        <w:ind w:firstLine="0"/>
      </w:pPr>
      <w:r>
        <w:rPr>
          <w:rFonts w:ascii="Times New Roman" w:hAnsi="Times New Roman" w:eastAsia="Noto Serif CJK SC"/>
          <w:sz w:val="22"/>
        </w:rPr>
        <w:t>1.3 本协议所称“甲方关联方”，包括直接或间接控制甲方、受甲方控制或与甲方受共同控制的全部境内外主体。乙方有效推荐的候选人在推荐保护期内与甲方或任一甲方关联方建立劳动、劳务、顾问、派遣、外包、董事、高级管理人员或其他提供服务的关系，均视为乙方成功推荐。</w:t>
      </w:r>
    </w:p>
    <w:p>
      <w:pPr>
        <w:widowControl/>
        <w:spacing w:after="0"/>
        <w:ind w:firstLine="0"/>
      </w:pPr>
      <w:r>
        <w:rPr>
          <w:rFonts w:ascii="Times New Roman" w:hAnsi="Times New Roman" w:eastAsia="Noto Serif CJK SC"/>
          <w:sz w:val="22"/>
        </w:rPr>
        <w:t>1.4 甲方可以通过电子邮件、企业微信、微信、招聘系统或双方认可的其他可留痕方式向乙方提出具体职位需求。乙方确认接受后，视为建立具体服务委托。双方就具体职位形成的职位确认单、报价单、电子邮件或乙方招聘系统中的职位规则与本协议约定不一致的，就该具体职位以在后形成的职位文件为准。</w:t>
      </w:r>
    </w:p>
    <w:p>
      <w:pPr>
        <w:keepNext/>
        <w:widowControl/>
        <w:spacing w:before="140" w:after="60"/>
      </w:pPr>
      <w:r>
        <w:rPr>
          <w:rFonts w:ascii="Times New Roman" w:hAnsi="Times New Roman" w:eastAsia="Noto Serif CJK SC"/>
          <w:b/>
          <w:sz w:val="24"/>
        </w:rPr>
        <w:t>第二条  服务内容及服务要求</w:t>
      </w:r>
    </w:p>
    <w:p>
      <w:pPr>
        <w:widowControl/>
        <w:spacing w:after="0"/>
        <w:ind w:firstLine="0"/>
      </w:pPr>
      <w:r>
        <w:rPr>
          <w:rFonts w:ascii="Times New Roman" w:hAnsi="Times New Roman" w:eastAsia="Noto Serif CJK SC"/>
          <w:sz w:val="22"/>
        </w:rPr>
        <w:t>2.1 甲方有权根据实际招聘需要提出、修改、暂停或者取消职位需求。乙方已经就某一职位安排候选人进入首轮面试后，甲方因自身原因取消该职位或停止招聘的，应按该职位预计成功服务费的30%向乙方支付项目取消费；双方另有书面约定的除外。</w:t>
      </w:r>
    </w:p>
    <w:p>
      <w:pPr>
        <w:widowControl/>
        <w:spacing w:after="0"/>
        <w:ind w:firstLine="0"/>
      </w:pPr>
      <w:r>
        <w:rPr>
          <w:rFonts w:ascii="Times New Roman" w:hAnsi="Times New Roman" w:eastAsia="Noto Serif CJK SC"/>
          <w:sz w:val="22"/>
        </w:rPr>
        <w:t>2.2 乙方应根据甲方职位需求开展候选人寻访、沟通和筛选。除特殊或稀缺职位外，乙方原则上在收到完整职位需求之日起10个工作日内向甲方推荐不少于3名候选人，并至少每两周向甲方反馈一次招聘进展；乙方不保证任何职位在特定期限内完成招聘。</w:t>
      </w:r>
    </w:p>
    <w:p>
      <w:pPr>
        <w:widowControl/>
        <w:spacing w:after="0"/>
        <w:ind w:firstLine="0"/>
      </w:pPr>
      <w:r>
        <w:rPr>
          <w:rFonts w:ascii="Times New Roman" w:hAnsi="Times New Roman" w:eastAsia="Noto Serif CJK SC"/>
          <w:sz w:val="22"/>
        </w:rPr>
        <w:t>2.3 乙方应与候选人进行初步沟通，并基于候选人提供的信息形成推荐意见。候选人的身份、学历、工作经历、竞业限制、薪酬及其他背景信息原则上由候选人自行负责，除双方另行委托正式背景调查外，乙方不承担独立核实或保证义务，但乙方明知信息虚假仍予推荐的除外。</w:t>
      </w:r>
    </w:p>
    <w:p>
      <w:pPr>
        <w:widowControl/>
        <w:spacing w:after="0"/>
        <w:ind w:firstLine="0"/>
      </w:pPr>
      <w:r>
        <w:rPr>
          <w:rFonts w:ascii="Times New Roman" w:hAnsi="Times New Roman" w:eastAsia="Noto Serif CJK SC"/>
          <w:sz w:val="22"/>
        </w:rPr>
        <w:t>2.4 乙方向甲方提供的候选人简历、候选人报告及其他资料应当真实、客观，不得存在乙方明知或应知的虚假记载、重大遗漏或误导性陈述。乙方应合理区分：候选人自行陈述的信息；乙方已经核验的信息；乙方基于专业经验形成的评价或判断。未经核验的信息，不得以已经查证的客观事实形式向甲方表述。</w:t>
      </w:r>
    </w:p>
    <w:p>
      <w:pPr>
        <w:widowControl/>
        <w:spacing w:after="0"/>
        <w:ind w:firstLine="0"/>
      </w:pPr>
      <w:r>
        <w:rPr>
          <w:rFonts w:ascii="Times New Roman" w:hAnsi="Times New Roman" w:eastAsia="Noto Serif CJK SC"/>
          <w:sz w:val="22"/>
        </w:rPr>
        <w:t>2.5 前述初步核实不当然构成正式背景调查。如甲方要求乙方开展学历、工作经历、利益冲突、职业资格或者其他专项背景调查，双方应另行确认调查范围和方式。未经候选人依法有效授权及甲方书面要求，乙方不得擅自开展涉及敏感个人信息或其他依法受到特别限制的信息调查。</w:t>
      </w:r>
    </w:p>
    <w:p>
      <w:pPr>
        <w:widowControl/>
        <w:spacing w:after="0"/>
        <w:ind w:firstLine="0"/>
      </w:pPr>
      <w:r>
        <w:rPr>
          <w:rFonts w:ascii="Times New Roman" w:hAnsi="Times New Roman" w:eastAsia="Noto Serif CJK SC"/>
          <w:sz w:val="22"/>
        </w:rPr>
        <w:t>2.6 乙方应根据甲方要求协助：安排候选人面试；沟通候选人求职意愿；沟通薪酬预期；协调录用及入职时间；跟进候选人入职情况；处理其他合理的招聘协调事项。候选人的录用与否、岗位、职级、薪酬待遇及其他用工条件均由甲方自主决定。未经甲方书面授权，乙方无权代表甲方向候选人作出任何录用、薪酬、股权、奖金、晋升、岗位稳定性或其他承诺。</w:t>
      </w:r>
    </w:p>
    <w:p>
      <w:pPr>
        <w:keepNext/>
        <w:widowControl/>
        <w:spacing w:before="140" w:after="60"/>
      </w:pPr>
      <w:r>
        <w:rPr>
          <w:rFonts w:ascii="Times New Roman" w:hAnsi="Times New Roman" w:eastAsia="Noto Serif CJK SC"/>
          <w:b/>
          <w:sz w:val="24"/>
        </w:rPr>
        <w:t>第三条  有效推荐及候选人归属</w:t>
      </w:r>
    </w:p>
    <w:p>
      <w:pPr>
        <w:widowControl/>
        <w:spacing w:after="0"/>
        <w:ind w:firstLine="0"/>
      </w:pPr>
      <w:r>
        <w:rPr>
          <w:rFonts w:ascii="Times New Roman" w:hAnsi="Times New Roman" w:eastAsia="Noto Serif CJK SC"/>
          <w:sz w:val="22"/>
        </w:rPr>
        <w:t>3.1 乙方通过电子邮件、微信、招聘系统或其他可留痕方式首次向甲方发送足以识别候选人的姓名、联系方式、履历摘要、公开职业主页或简历，即视为乙方已完成有效推荐。候选人后续是否接受特定职位面试、是否已与乙方完成完整沟通，不影响推荐成立。</w:t>
      </w:r>
    </w:p>
    <w:p>
      <w:pPr>
        <w:widowControl/>
        <w:spacing w:after="0"/>
        <w:ind w:firstLine="0"/>
      </w:pPr>
      <w:r>
        <w:rPr>
          <w:rFonts w:ascii="Times New Roman" w:hAnsi="Times New Roman" w:eastAsia="Noto Serif CJK SC"/>
          <w:sz w:val="22"/>
        </w:rPr>
        <w:t>3.2 乙方推荐候选人前，如甲方能够证明其在此前3个月内已与该候选人就具体招聘职位进行过面试或双向实质沟通，则该候选人不属于乙方有效推荐。候选人仅存在于甲方人才库、曾经投递简历、由员工推荐但未形成双向沟通，或者甲方仅持有其公开资料的，不构成重复候选人。</w:t>
      </w:r>
    </w:p>
    <w:p>
      <w:pPr>
        <w:widowControl/>
        <w:spacing w:after="0"/>
        <w:ind w:firstLine="0"/>
      </w:pPr>
      <w:r>
        <w:rPr>
          <w:rFonts w:ascii="Times New Roman" w:hAnsi="Times New Roman" w:eastAsia="Noto Serif CJK SC"/>
          <w:sz w:val="22"/>
        </w:rPr>
        <w:t>3.3 甲方认为乙方推荐的候选人与甲方既有候选人重复的，应在收到乙方候选人信息后2个工作日内书面提出异议并提供相应证明；逾期未提出的，视为甲方确认该候选人由乙方推荐，甲方此后不得再以重复候选人为由拒绝支付服务费。</w:t>
      </w:r>
    </w:p>
    <w:p>
      <w:pPr>
        <w:widowControl/>
        <w:spacing w:after="0"/>
        <w:ind w:firstLine="0"/>
      </w:pPr>
      <w:r>
        <w:rPr>
          <w:rFonts w:ascii="Times New Roman" w:hAnsi="Times New Roman" w:eastAsia="Noto Serif CJK SC"/>
          <w:sz w:val="22"/>
        </w:rPr>
        <w:t>3.4 不同猎头机构向甲方推荐同一候选人的，以甲方系统、电子邮件或其他可留痕记录显示最先向甲方发送足以识别候选人信息的一方为有效推荐方，无论该候选人在首次发送时是否已明确接受具体职位。</w:t>
      </w:r>
    </w:p>
    <w:p>
      <w:pPr>
        <w:widowControl/>
        <w:spacing w:after="0"/>
        <w:ind w:firstLine="0"/>
      </w:pPr>
      <w:r>
        <w:rPr>
          <w:rFonts w:ascii="Times New Roman" w:hAnsi="Times New Roman" w:eastAsia="Noto Serif CJK SC"/>
          <w:sz w:val="22"/>
        </w:rPr>
        <w:t>3.5 乙方有效推荐候选人后，无论甲方最终将候选人录用至原职位、其他职位或甲方关联方职位，只要在推荐保护期内建立本协议约定的任何用工或服务关系，均视为乙方成功推荐。</w:t>
      </w:r>
    </w:p>
    <w:p>
      <w:pPr>
        <w:keepNext/>
        <w:widowControl/>
        <w:spacing w:before="140" w:after="60"/>
      </w:pPr>
      <w:r>
        <w:rPr>
          <w:rFonts w:ascii="Times New Roman" w:hAnsi="Times New Roman" w:eastAsia="Noto Serif CJK SC"/>
          <w:b/>
          <w:sz w:val="24"/>
        </w:rPr>
        <w:t>第四条  成功推荐及推荐保护期</w:t>
      </w:r>
    </w:p>
    <w:p>
      <w:pPr>
        <w:widowControl/>
        <w:spacing w:after="0"/>
        <w:ind w:firstLine="0"/>
      </w:pPr>
      <w:r>
        <w:rPr>
          <w:rFonts w:ascii="Times New Roman" w:hAnsi="Times New Roman" w:eastAsia="Noto Serif CJK SC"/>
          <w:sz w:val="22"/>
        </w:rPr>
        <w:t>4.1 乙方完成有效推荐后，候选人接受甲方书面Offer、录用意向或与甲方签署劳动、劳务、顾问等合作文件时，乙方服务费的50%即产生；候选人实际办理入职并开始向甲方或甲方关联方提供劳动或服务时，剩余50%服务费产生。候选人接受Offer后因候选人个人原因未实际入职的，已产生的50%服务费不予退还，但可在3个月内抵扣乙方为同一职位成功推荐替补候选人所产生的服务费。</w:t>
      </w:r>
    </w:p>
    <w:p>
      <w:pPr>
        <w:widowControl/>
        <w:spacing w:after="0"/>
        <w:ind w:firstLine="0"/>
      </w:pPr>
      <w:r>
        <w:rPr>
          <w:rFonts w:ascii="Times New Roman" w:hAnsi="Times New Roman" w:eastAsia="Noto Serif CJK SC"/>
          <w:sz w:val="22"/>
        </w:rPr>
        <w:t>4.2 候选人在推荐保护期内与甲方或甲方关联方通过劳动合同、劳务合同、顾问合同、咨询服务、劳务派遣、第三方外包或其他任何方式建立持续提供劳动或服务的关系，均视为乙方成功推荐。</w:t>
      </w:r>
    </w:p>
    <w:p>
      <w:pPr>
        <w:widowControl/>
        <w:spacing w:after="0"/>
        <w:ind w:firstLine="0"/>
      </w:pPr>
      <w:r>
        <w:rPr>
          <w:rFonts w:ascii="Times New Roman" w:hAnsi="Times New Roman" w:eastAsia="Noto Serif CJK SC"/>
          <w:sz w:val="22"/>
        </w:rPr>
        <w:t>4.3 乙方有效推荐候选人后，自首次推荐之日起12个月为推荐保护期。候选人在该期限内与甲方或甲方关联方建立第4.2条所述关系的，无论是否仍系原招聘流程延续，甲方均应按本协议支付服务费。</w:t>
      </w:r>
    </w:p>
    <w:p>
      <w:pPr>
        <w:keepNext/>
        <w:widowControl/>
        <w:spacing w:before="140" w:after="60"/>
      </w:pPr>
      <w:r>
        <w:rPr>
          <w:rFonts w:ascii="Times New Roman" w:hAnsi="Times New Roman" w:eastAsia="Noto Serif CJK SC"/>
          <w:b/>
          <w:sz w:val="24"/>
        </w:rPr>
        <w:t>第五条  服务费及计费标准</w:t>
      </w:r>
    </w:p>
    <w:p>
      <w:pPr>
        <w:widowControl/>
        <w:spacing w:after="0"/>
        <w:ind w:firstLine="0"/>
      </w:pPr>
      <w:r>
        <w:rPr>
          <w:rFonts w:ascii="Times New Roman" w:hAnsi="Times New Roman" w:eastAsia="Noto Serif CJK SC"/>
          <w:sz w:val="22"/>
        </w:rPr>
        <w:t>5.1 乙方每成功推荐一名候选人，甲方向乙方支付的猎头服务费为：候选人首年预计税前现金总收入 × 22%。</w:t>
      </w:r>
    </w:p>
    <w:p>
      <w:pPr>
        <w:widowControl/>
        <w:spacing w:after="0"/>
        <w:ind w:firstLine="0"/>
      </w:pPr>
      <w:r>
        <w:rPr>
          <w:rFonts w:ascii="Times New Roman" w:hAnsi="Times New Roman" w:eastAsia="Noto Serif CJK SC"/>
          <w:sz w:val="22"/>
        </w:rPr>
        <w:t>5.2 候选人首年预计税前现金总收入包括固定月薪、固定第13薪、目标年度奖金、保证奖金、签约奖金、入职奖金及固定现金津贴；股票、期权等非现金股权激励暂不计入。候选人入职时无法确定实际奖金金额的，以Offer或薪酬方案中载明的目标金额计算。</w:t>
      </w:r>
    </w:p>
    <w:p>
      <w:pPr>
        <w:widowControl/>
        <w:spacing w:after="0"/>
        <w:ind w:firstLine="0"/>
      </w:pPr>
      <w:r>
        <w:rPr>
          <w:rFonts w:ascii="Times New Roman" w:hAnsi="Times New Roman" w:eastAsia="Noto Serif CJK SC"/>
          <w:sz w:val="22"/>
        </w:rPr>
        <w:t>5.3 单名候选人的猎头服务费最高不超过人民币500,000元（含税）。如具体职位确认单另行约定更高封顶或不设封顶的，以具体职位确认单为准。</w:t>
      </w:r>
    </w:p>
    <w:p>
      <w:pPr>
        <w:widowControl/>
        <w:spacing w:after="0"/>
        <w:ind w:firstLine="0"/>
      </w:pPr>
      <w:r>
        <w:rPr>
          <w:rFonts w:ascii="Times New Roman" w:hAnsi="Times New Roman" w:eastAsia="Noto Serif CJK SC"/>
          <w:sz w:val="22"/>
        </w:rPr>
        <w:t>5.4 候选人采用无法按照第5.2条直接计算的特殊固定薪酬结构的，由双方在候选人入职前另行书面确认计费基数。未经甲方书面确认，乙方不得单方面扩大服务费计费基数。</w:t>
      </w:r>
    </w:p>
    <w:p>
      <w:pPr>
        <w:widowControl/>
        <w:spacing w:after="0"/>
        <w:ind w:firstLine="0"/>
      </w:pPr>
      <w:r>
        <w:rPr>
          <w:rFonts w:ascii="Times New Roman" w:hAnsi="Times New Roman" w:eastAsia="Noto Serif CJK SC"/>
          <w:sz w:val="22"/>
        </w:rPr>
        <w:t>5.5 本协议全部服务费均为含税价。乙方应向甲方开具合法有效、与服务内容及结算金额一致的增值税【专用】发票。</w:t>
      </w:r>
    </w:p>
    <w:p>
      <w:pPr>
        <w:keepNext/>
        <w:widowControl/>
        <w:spacing w:before="140" w:after="60"/>
      </w:pPr>
      <w:r>
        <w:rPr>
          <w:rFonts w:ascii="Times New Roman" w:hAnsi="Times New Roman" w:eastAsia="Noto Serif CJK SC"/>
          <w:b/>
          <w:sz w:val="24"/>
        </w:rPr>
        <w:t>第六条  结算及付款</w:t>
      </w:r>
    </w:p>
    <w:p>
      <w:pPr>
        <w:widowControl/>
        <w:spacing w:after="0"/>
        <w:ind w:firstLine="0"/>
      </w:pPr>
      <w:r>
        <w:rPr>
          <w:rFonts w:ascii="Times New Roman" w:hAnsi="Times New Roman" w:eastAsia="Noto Serif CJK SC"/>
          <w:sz w:val="22"/>
        </w:rPr>
        <w:t>6.1 候选人实际入职后，乙方可以向甲方提交《猎头服务费用结算单》。结算单至少应包括：候选人姓名；入职职位；实际入职日期；服务费计费基数；服务费率；应付金额；其他必要信息。</w:t>
      </w:r>
    </w:p>
    <w:p>
      <w:pPr>
        <w:widowControl/>
        <w:spacing w:after="0"/>
        <w:ind w:firstLine="0"/>
      </w:pPr>
      <w:r>
        <w:rPr>
          <w:rFonts w:ascii="Times New Roman" w:hAnsi="Times New Roman" w:eastAsia="Noto Serif CJK SC"/>
          <w:sz w:val="22"/>
        </w:rPr>
        <w:t>6.2 甲方可以通过Offer摘要、薪酬确认、系统信息或者其他合理方式向乙方确认候选人固定薪酬。乙方不得要求甲方向其提供完整劳动合同作为付款前提。确有必要提供相关文件的，甲方有权遮盖与猎头服务费计算无关的信息。</w:t>
      </w:r>
    </w:p>
    <w:p>
      <w:pPr>
        <w:widowControl/>
        <w:spacing w:after="0"/>
        <w:ind w:firstLine="0"/>
      </w:pPr>
      <w:r>
        <w:rPr>
          <w:rFonts w:ascii="Times New Roman" w:hAnsi="Times New Roman" w:eastAsia="Noto Serif CJK SC"/>
          <w:sz w:val="22"/>
        </w:rPr>
        <w:t>6.3 候选人接受Offer后，乙方即可就已产生的50%服务费提交结算单及发票；候选人实际入职后，乙方可就剩余服务费结算。甲方应在收到相应结算单及合法有效发票之日起7个工作日内付款。甲方内部审批、采购流程或与乙方存在其他争议不影响无争议结算单项下款项到期。</w:t>
      </w:r>
    </w:p>
    <w:p>
      <w:pPr>
        <w:widowControl/>
        <w:spacing w:after="0"/>
        <w:ind w:firstLine="0"/>
      </w:pPr>
      <w:r>
        <w:rPr>
          <w:rFonts w:ascii="Times New Roman" w:hAnsi="Times New Roman" w:eastAsia="Noto Serif CJK SC"/>
          <w:sz w:val="22"/>
        </w:rPr>
        <w:t>6.4 甲方对结算单存在异议的，应在收到结算单后5个工作日内一次性书面提出并说明理由；逾期未提出的，视为甲方确认结算单。甲方不得以重复推荐、计费基数等此前已知事项为由在付款到期后暂缓支付。</w:t>
      </w:r>
    </w:p>
    <w:p>
      <w:pPr>
        <w:widowControl/>
        <w:spacing w:after="0"/>
        <w:ind w:firstLine="0"/>
      </w:pPr>
      <w:r>
        <w:rPr>
          <w:rFonts w:ascii="Times New Roman" w:hAnsi="Times New Roman" w:eastAsia="Noto Serif CJK SC"/>
          <w:sz w:val="22"/>
        </w:rPr>
        <w:t>6.5 甲方逾期支付任何到期款项的，应按应付未付款项每日万分之五向乙方支付违约金。逾期超过15日且经乙方催告仍未支付的，乙方有权暂停本协议项下全部服务，包括候选人推进、替补寻访等，直至甲方足额支付；乙方已依法应履行的数据安全和保密义务不受影响。</w:t>
      </w:r>
    </w:p>
    <w:p>
      <w:pPr>
        <w:keepNext/>
        <w:widowControl/>
        <w:spacing w:before="140" w:after="60"/>
      </w:pPr>
      <w:r>
        <w:rPr>
          <w:rFonts w:ascii="Times New Roman" w:hAnsi="Times New Roman" w:eastAsia="Noto Serif CJK SC"/>
          <w:b/>
          <w:sz w:val="24"/>
        </w:rPr>
        <w:t>第七条  人才保证期</w:t>
      </w:r>
    </w:p>
    <w:p>
      <w:pPr>
        <w:widowControl/>
        <w:spacing w:after="0"/>
        <w:ind w:firstLine="0"/>
      </w:pPr>
      <w:r>
        <w:rPr>
          <w:rFonts w:ascii="Times New Roman" w:hAnsi="Times New Roman" w:eastAsia="Noto Serif CJK SC"/>
          <w:sz w:val="22"/>
        </w:rPr>
        <w:t>7.1 自候选人实际入职之日起60个自然日为人才保证期。特定职位另有书面约定的，从其约定。</w:t>
      </w:r>
    </w:p>
    <w:p>
      <w:pPr>
        <w:widowControl/>
        <w:spacing w:after="0"/>
        <w:ind w:firstLine="0"/>
      </w:pPr>
      <w:r>
        <w:rPr>
          <w:rFonts w:ascii="Times New Roman" w:hAnsi="Times New Roman" w:eastAsia="Noto Serif CJK SC"/>
          <w:sz w:val="22"/>
        </w:rPr>
        <w:t>7.2 保证期内，如候选人主动提出离职，或甲方有充分书面证据证明候选人在试用期内因不具备岗位核心能力而被依法解除劳动关系，乙方承担本条约定的保证责任。候选人因绩效争议、团队适配、管理方式、岗位调整或其他非明确能力原因离职的，不适用保证责任。</w:t>
      </w:r>
    </w:p>
    <w:p>
      <w:pPr>
        <w:widowControl/>
        <w:spacing w:after="0"/>
        <w:ind w:firstLine="0"/>
      </w:pPr>
      <w:r>
        <w:rPr>
          <w:rFonts w:ascii="Times New Roman" w:hAnsi="Times New Roman" w:eastAsia="Noto Serif CJK SC"/>
          <w:sz w:val="22"/>
        </w:rPr>
        <w:t>7.3 发生第7.2条情形后，乙方应免费为甲方就同一职位提供一次替补寻访。双方确认，免费替补为本协议项下保证期的唯一救济方式，甲方无权要求退还已支付的猎头服务费。</w:t>
      </w:r>
    </w:p>
    <w:p>
      <w:pPr>
        <w:widowControl/>
        <w:spacing w:after="0"/>
        <w:ind w:firstLine="0"/>
      </w:pPr>
      <w:r>
        <w:rPr>
          <w:rFonts w:ascii="Times New Roman" w:hAnsi="Times New Roman" w:eastAsia="Noto Serif CJK SC"/>
          <w:sz w:val="22"/>
        </w:rPr>
        <w:t>7.4 甲方应在候选人离职后5个工作日内书面通知乙方并说明原因。乙方自收到通知之日起90日内寻找替补；如90日内未能完成替补，甲方已支付服务费的50%可作为未来6个月内新职位成功推荐服务费的抵扣额度，乙方无需现金退款。</w:t>
      </w:r>
    </w:p>
    <w:p>
      <w:pPr>
        <w:widowControl/>
        <w:spacing w:after="0"/>
        <w:ind w:firstLine="0"/>
      </w:pPr>
      <w:r>
        <w:rPr>
          <w:rFonts w:ascii="Times New Roman" w:hAnsi="Times New Roman" w:eastAsia="Noto Serif CJK SC"/>
          <w:sz w:val="22"/>
        </w:rPr>
        <w:t>7.5 甲方选择免费替补时，如替补候选人最终确认的计费基数高于原候选人，甲方应按本协议费率补足服务费差额；如替补候选人计费基数低于原候选人，已收取的服务费不予退还。替补候选人适用新的60日保证期。</w:t>
      </w:r>
    </w:p>
    <w:p>
      <w:pPr>
        <w:widowControl/>
        <w:spacing w:after="0"/>
        <w:ind w:firstLine="0"/>
      </w:pPr>
      <w:r>
        <w:rPr>
          <w:rFonts w:ascii="Times New Roman" w:hAnsi="Times New Roman" w:eastAsia="Noto Serif CJK SC"/>
          <w:sz w:val="22"/>
        </w:rPr>
        <w:t>7.6 候选人因甲方裁员、组织架构或汇报关系调整、岗位职责变化、工作地点变化、薪酬结构或奖金政策变化、业务方向变化、管理方式、延迟发薪、劳动条件变化等原因离职的，乙方不承担保证责任。候选人因个人健康、家庭、继续深造、创业等个人原因主动离职的，乙方亦不承担保证责任。</w:t>
      </w:r>
    </w:p>
    <w:p>
      <w:pPr>
        <w:widowControl/>
        <w:spacing w:after="0"/>
        <w:ind w:firstLine="0"/>
      </w:pPr>
      <w:r>
        <w:rPr>
          <w:rFonts w:ascii="Times New Roman" w:hAnsi="Times New Roman" w:eastAsia="Noto Serif CJK SC"/>
          <w:sz w:val="22"/>
        </w:rPr>
        <w:t>7.7 除乙方故意伪造或篡改候选人资料外，候选人信息真实性风险由候选人承担；保证期届满后，乙方不再就候选人的任职表现、离职或候选人自行提供的信息承担任何保证或退费责任。</w:t>
      </w:r>
    </w:p>
    <w:p>
      <w:pPr>
        <w:keepNext/>
        <w:widowControl/>
        <w:spacing w:before="140" w:after="60"/>
      </w:pPr>
      <w:r>
        <w:rPr>
          <w:rFonts w:ascii="Times New Roman" w:hAnsi="Times New Roman" w:eastAsia="Noto Serif CJK SC"/>
          <w:b/>
          <w:sz w:val="24"/>
        </w:rPr>
        <w:t>第八条  乙方资质、声明与保证</w:t>
      </w:r>
    </w:p>
    <w:p>
      <w:pPr>
        <w:widowControl/>
        <w:spacing w:after="0"/>
        <w:ind w:firstLine="0"/>
      </w:pPr>
      <w:r>
        <w:rPr>
          <w:rFonts w:ascii="Times New Roman" w:hAnsi="Times New Roman" w:eastAsia="Noto Serif CJK SC"/>
          <w:sz w:val="22"/>
        </w:rPr>
        <w:t>8.1 乙方声明并保证：已依法取得开展本协议项下高级人才寻访及职业中介活动所需的有效《人力资源服务许可证》；已依法完成其他必要的许可或备案；在本协议有效期内持续维持前述资质合法有效；其实际提供本协议项下服务的主体及人员符合法律法规要求。甲方有权要求乙方提供相关许可证及其他证明材料。</w:t>
      </w:r>
    </w:p>
    <w:p>
      <w:pPr>
        <w:widowControl/>
        <w:spacing w:after="0"/>
        <w:ind w:firstLine="0"/>
      </w:pPr>
      <w:r>
        <w:rPr>
          <w:rFonts w:ascii="Times New Roman" w:hAnsi="Times New Roman" w:eastAsia="Noto Serif CJK SC"/>
          <w:sz w:val="22"/>
        </w:rPr>
        <w:t>8.2 乙方出现以下情况的，应立即通知甲方：许可证到期未续；被暂停、撤销、吊销或注销；受到可能重大影响履约能力的行政处罚；经营主体或实际服务主体发生重大变化；其他可能影响合法履约的事项。发生前述情形的，甲方有权暂停合作或立即解除本协议。</w:t>
      </w:r>
    </w:p>
    <w:p>
      <w:pPr>
        <w:widowControl/>
        <w:spacing w:after="0"/>
        <w:ind w:firstLine="0"/>
      </w:pPr>
      <w:r>
        <w:rPr>
          <w:rFonts w:ascii="Times New Roman" w:hAnsi="Times New Roman" w:eastAsia="Noto Serif CJK SC"/>
          <w:sz w:val="22"/>
        </w:rPr>
        <w:t>8.3 乙方保证其提供给甲方的候选人信息具有合法来源。乙方不得通过以下方式获得候选人信息：非法购买；非法爬取；非法交换；数据泄露；冒用他人身份；欺诈或胁迫；其他违法方式。</w:t>
      </w:r>
    </w:p>
    <w:p>
      <w:pPr>
        <w:widowControl/>
        <w:spacing w:after="0"/>
        <w:ind w:firstLine="0"/>
      </w:pPr>
      <w:r>
        <w:rPr>
          <w:rFonts w:ascii="Times New Roman" w:hAnsi="Times New Roman" w:eastAsia="Noto Serif CJK SC"/>
          <w:sz w:val="22"/>
        </w:rPr>
        <w:t>8.4 乙方不得因履行甲方职位招聘服务，向候选人收取法律法规禁止收取的费用，不得以保证录用等名义收取押金、保证金或者其他不正当费用。</w:t>
      </w:r>
    </w:p>
    <w:p>
      <w:pPr>
        <w:widowControl/>
        <w:spacing w:after="0"/>
        <w:ind w:firstLine="0"/>
      </w:pPr>
      <w:r>
        <w:rPr>
          <w:rFonts w:ascii="Times New Roman" w:hAnsi="Times New Roman" w:eastAsia="Noto Serif CJK SC"/>
          <w:sz w:val="22"/>
        </w:rPr>
        <w:t>8.5 未经甲方书面同意，乙方不得：以甲方名义发布未经确认的招聘信息；虚构、夸大甲方融资、业务、发展前景；虚构甲方薪酬、奖金、股权激励安排；对候选人作出未经甲方授权的承诺。</w:t>
      </w:r>
    </w:p>
    <w:p>
      <w:pPr>
        <w:keepNext/>
        <w:widowControl/>
        <w:spacing w:before="140" w:after="60"/>
      </w:pPr>
      <w:r>
        <w:rPr>
          <w:rFonts w:ascii="Times New Roman" w:hAnsi="Times New Roman" w:eastAsia="Noto Serif CJK SC"/>
          <w:b/>
          <w:sz w:val="24"/>
        </w:rPr>
        <w:t>第九条  候选人个人信息保护</w:t>
      </w:r>
    </w:p>
    <w:p>
      <w:pPr>
        <w:widowControl/>
        <w:spacing w:after="0"/>
        <w:ind w:firstLine="0"/>
      </w:pPr>
      <w:r>
        <w:rPr>
          <w:rFonts w:ascii="Times New Roman" w:hAnsi="Times New Roman" w:eastAsia="Noto Serif CJK SC"/>
          <w:sz w:val="22"/>
        </w:rPr>
        <w:t>9.1 双方应依法处理候选人个人信息。双方就各自独立决定处理目的和处理方式的个人信息处理活动分别承担相应责任，本协议不当然导致双方构成共同处理或委托处理关系。</w:t>
      </w:r>
    </w:p>
    <w:p>
      <w:pPr>
        <w:widowControl/>
        <w:spacing w:after="0"/>
        <w:ind w:firstLine="0"/>
      </w:pPr>
      <w:r>
        <w:rPr>
          <w:rFonts w:ascii="Times New Roman" w:hAnsi="Times New Roman" w:eastAsia="Noto Serif CJK SC"/>
          <w:sz w:val="22"/>
        </w:rPr>
        <w:t>9.2 乙方确认其已就人才寻访及向潜在用人单位推荐候选人取得候选人必要的授权或同意。候选人信息一经合法提供给甲方，甲方作为独立个人信息处理者，应自行承担其后续处理、保存、使用及删除等个人信息保护义务。</w:t>
      </w:r>
    </w:p>
    <w:p>
      <w:pPr>
        <w:widowControl/>
        <w:spacing w:after="0"/>
        <w:ind w:firstLine="0"/>
      </w:pPr>
      <w:r>
        <w:rPr>
          <w:rFonts w:ascii="Times New Roman" w:hAnsi="Times New Roman" w:eastAsia="Noto Serif CJK SC"/>
          <w:sz w:val="22"/>
        </w:rPr>
        <w:t>9.3 除具有明确招聘必要性且符合适用法律要求外，乙方不得向甲方提供候选人的敏感个人信息。依法确有必要处理敏感个人信息的，乙方应依法：履行特别告知义务；取得候选人的单独同意或其他依法要求的授权；采取严格保护措施。</w:t>
      </w:r>
    </w:p>
    <w:p>
      <w:pPr>
        <w:widowControl/>
        <w:spacing w:after="0"/>
        <w:ind w:firstLine="0"/>
      </w:pPr>
      <w:r>
        <w:rPr>
          <w:rFonts w:ascii="Times New Roman" w:hAnsi="Times New Roman" w:eastAsia="Noto Serif CJK SC"/>
          <w:sz w:val="22"/>
        </w:rPr>
        <w:t>9.4 乙方向甲方提供的信息应限于实现招聘目的合理必要的范围。乙方不得以猎头服务为由向甲方提供与职位招聘明显无关的信息。</w:t>
      </w:r>
    </w:p>
    <w:p>
      <w:pPr>
        <w:widowControl/>
        <w:spacing w:after="0"/>
        <w:ind w:firstLine="0"/>
      </w:pPr>
      <w:r>
        <w:rPr>
          <w:rFonts w:ascii="Times New Roman" w:hAnsi="Times New Roman" w:eastAsia="Noto Serif CJK SC"/>
          <w:sz w:val="22"/>
        </w:rPr>
        <w:t>9.5 乙方应采取与风险相适应的组织和技术措施，防止个人信息：未经授权访问；泄露；篡改；丢失；非法使用；非法提供。</w:t>
      </w:r>
    </w:p>
    <w:p>
      <w:pPr>
        <w:widowControl/>
        <w:spacing w:after="0"/>
        <w:ind w:firstLine="0"/>
      </w:pPr>
      <w:r>
        <w:rPr>
          <w:rFonts w:ascii="Times New Roman" w:hAnsi="Times New Roman" w:eastAsia="Noto Serif CJK SC"/>
          <w:sz w:val="22"/>
        </w:rPr>
        <w:t>9.6 发生涉及候选人或本协议服务的个人信息安全事件时，乙方应在确认该事件可能对甲方产生重大不利影响后72小时内通知甲方，并采取合理补救措施。</w:t>
      </w:r>
    </w:p>
    <w:p>
      <w:pPr>
        <w:widowControl/>
        <w:spacing w:after="0"/>
        <w:ind w:firstLine="0"/>
      </w:pPr>
      <w:r>
        <w:rPr>
          <w:rFonts w:ascii="Times New Roman" w:hAnsi="Times New Roman" w:eastAsia="Noto Serif CJK SC"/>
          <w:sz w:val="22"/>
        </w:rPr>
        <w:t>9.7 为履行本协议、候选人跨地区寻访及乙方集团人才数据库管理之需要，乙方可使用其关联公司、合作服务商及境内外信息系统处理候选人及招聘项目信息。乙方应自行依法履行其作为个人信息处理者所需的告知、同意及数据出境合规义务，无需就每次使用境外系统另行取得甲方书面同意。</w:t>
      </w:r>
    </w:p>
    <w:p>
      <w:pPr>
        <w:widowControl/>
        <w:spacing w:after="0"/>
        <w:ind w:firstLine="0"/>
      </w:pPr>
      <w:r>
        <w:rPr>
          <w:rFonts w:ascii="Times New Roman" w:hAnsi="Times New Roman" w:eastAsia="Noto Serif CJK SC"/>
          <w:sz w:val="22"/>
        </w:rPr>
        <w:t>9.8 乙方仅得在实现招聘目的所必要的合理期限内处理因本协议获得的相关个人信息。招聘目的实现、无法实现、职位关闭、候选人退出或者本协议终止后，不再具有合法保存依据的信息，乙方应依法及时删除或匿名化处理。</w:t>
      </w:r>
    </w:p>
    <w:p>
      <w:pPr>
        <w:keepNext/>
        <w:widowControl/>
        <w:spacing w:before="140" w:after="60"/>
      </w:pPr>
      <w:r>
        <w:rPr>
          <w:rFonts w:ascii="Times New Roman" w:hAnsi="Times New Roman" w:eastAsia="Noto Serif CJK SC"/>
          <w:b/>
          <w:sz w:val="24"/>
        </w:rPr>
        <w:t>第十条  保密</w:t>
      </w:r>
    </w:p>
    <w:p>
      <w:pPr>
        <w:widowControl/>
        <w:spacing w:after="0"/>
        <w:ind w:firstLine="0"/>
      </w:pPr>
      <w:r>
        <w:rPr>
          <w:rFonts w:ascii="Times New Roman" w:hAnsi="Times New Roman" w:eastAsia="Noto Serif CJK SC"/>
          <w:sz w:val="22"/>
        </w:rPr>
        <w:t>10.1 因本协议签订或履行而获悉的对方未公开信息均属于保密信息，包括但不限于：商业计划；产品及技术资料；组织架构；人员名单；员工薪酬信息；招聘计划；职位设置；候选人信息；财务信息；客户及合作伙伴信息；系统、数据及安全信息；双方合作事实和合同内容。</w:t>
      </w:r>
    </w:p>
    <w:p>
      <w:pPr>
        <w:widowControl/>
        <w:spacing w:after="0"/>
        <w:ind w:firstLine="0"/>
      </w:pPr>
      <w:r>
        <w:rPr>
          <w:rFonts w:ascii="Times New Roman" w:hAnsi="Times New Roman" w:eastAsia="Noto Serif CJK SC"/>
          <w:sz w:val="22"/>
        </w:rPr>
        <w:t>10.2 接受方仅得为履行本协议之目的使用保密信息；但乙方可在不披露甲方非公开业务、人员或薪酬信息的前提下，在客户清单、投标资质材料及市场宣传中使用甲方名称和商标，甲方明确书面要求停止使用的除外。</w:t>
      </w:r>
    </w:p>
    <w:p>
      <w:pPr>
        <w:widowControl/>
        <w:spacing w:after="0"/>
        <w:ind w:firstLine="0"/>
      </w:pPr>
      <w:r>
        <w:rPr>
          <w:rFonts w:ascii="Times New Roman" w:hAnsi="Times New Roman" w:eastAsia="Noto Serif CJK SC"/>
          <w:sz w:val="22"/>
        </w:rPr>
        <w:t>10.3 因法律法规、有权监管机关、司法机关要求必须披露的，接受方可在法律允许范围内披露，但应尽可能提前通知披露方并将披露控制在必要范围内。</w:t>
      </w:r>
    </w:p>
    <w:p>
      <w:pPr>
        <w:widowControl/>
        <w:spacing w:after="0"/>
        <w:ind w:firstLine="0"/>
      </w:pPr>
      <w:r>
        <w:rPr>
          <w:rFonts w:ascii="Times New Roman" w:hAnsi="Times New Roman" w:eastAsia="Noto Serif CJK SC"/>
          <w:sz w:val="22"/>
        </w:rPr>
        <w:t>10.4 本协议终止或者甲方提出要求时，乙方应根据甲方要求返还、删除或者销毁甲方保密信息，但法律法规要求继续保存的除外。</w:t>
      </w:r>
    </w:p>
    <w:p>
      <w:pPr>
        <w:widowControl/>
        <w:spacing w:after="0"/>
        <w:ind w:firstLine="0"/>
      </w:pPr>
      <w:r>
        <w:rPr>
          <w:rFonts w:ascii="Times New Roman" w:hAnsi="Times New Roman" w:eastAsia="Noto Serif CJK SC"/>
          <w:sz w:val="22"/>
        </w:rPr>
        <w:t>10.5 本条义务不因本协议解除、终止或期限届满而失效。属于商业秘密的信息，在相关信息依法构成商业秘密期间持续受到保护。</w:t>
      </w:r>
    </w:p>
    <w:p>
      <w:pPr>
        <w:keepNext/>
        <w:widowControl/>
        <w:spacing w:before="140" w:after="60"/>
      </w:pPr>
      <w:r>
        <w:rPr>
          <w:rFonts w:ascii="Times New Roman" w:hAnsi="Times New Roman" w:eastAsia="Noto Serif CJK SC"/>
          <w:b/>
          <w:sz w:val="24"/>
        </w:rPr>
        <w:t>第十一条  禁止反向猎取</w:t>
      </w:r>
    </w:p>
    <w:p>
      <w:pPr>
        <w:widowControl/>
        <w:spacing w:after="0"/>
        <w:ind w:firstLine="0"/>
      </w:pPr>
      <w:r>
        <w:rPr>
          <w:rFonts w:ascii="Times New Roman" w:hAnsi="Times New Roman" w:eastAsia="Noto Serif CJK SC"/>
          <w:sz w:val="22"/>
        </w:rPr>
        <w:t>11.1 在本协议有效期内及协议终止后6个月内，乙方不得主动、定向再次猎取由乙方成功推荐并已加入甲方的候选人。对于甲方其他员工，乙方在未使用甲方根据本协议提供的非公开人员名单或联系方式的前提下，可以开展正常人才寻访。</w:t>
      </w:r>
    </w:p>
    <w:p>
      <w:pPr>
        <w:widowControl/>
        <w:spacing w:after="0"/>
        <w:ind w:firstLine="0"/>
      </w:pPr>
      <w:r>
        <w:rPr>
          <w:rFonts w:ascii="Times New Roman" w:hAnsi="Times New Roman" w:eastAsia="Noto Serif CJK SC"/>
          <w:sz w:val="22"/>
        </w:rPr>
        <w:t>11.2 甲方员工完全自主通过公开招聘渠道申请乙方其他客户职位，且乙方没有实施主动、定向招揽行为的，不视为违反本条。乙方应就其主张适用本款例外承担合理举证责任。</w:t>
      </w:r>
    </w:p>
    <w:p>
      <w:pPr>
        <w:widowControl/>
        <w:spacing w:after="0"/>
        <w:ind w:firstLine="0"/>
      </w:pPr>
      <w:r>
        <w:rPr>
          <w:rFonts w:ascii="Times New Roman" w:hAnsi="Times New Roman" w:eastAsia="Noto Serif CJK SC"/>
          <w:sz w:val="22"/>
        </w:rPr>
        <w:t>11.3 乙方违反第11.1条的，应就甲方能够证明的直接实际损失承担赔偿责任。双方不另行约定固定违约金。</w:t>
      </w:r>
    </w:p>
    <w:p>
      <w:pPr>
        <w:keepNext/>
        <w:widowControl/>
        <w:spacing w:before="140" w:after="60"/>
      </w:pPr>
      <w:r>
        <w:rPr>
          <w:rFonts w:ascii="Times New Roman" w:hAnsi="Times New Roman" w:eastAsia="Noto Serif CJK SC"/>
          <w:b/>
          <w:sz w:val="24"/>
        </w:rPr>
        <w:t>第十二条  转委托及利益冲突</w:t>
      </w:r>
    </w:p>
    <w:p>
      <w:pPr>
        <w:widowControl/>
        <w:spacing w:after="0"/>
        <w:ind w:firstLine="0"/>
      </w:pPr>
      <w:r>
        <w:rPr>
          <w:rFonts w:ascii="Times New Roman" w:hAnsi="Times New Roman" w:eastAsia="Noto Serif CJK SC"/>
          <w:sz w:val="22"/>
        </w:rPr>
        <w:t>12.1 乙方可根据项目需要安排其关联公司、合作顾问或专业寻访合作方参与本协议服务，无需事先取得甲方同意；乙方对前述主体的履约行为向甲方承担合同责任。</w:t>
      </w:r>
    </w:p>
    <w:p>
      <w:pPr>
        <w:widowControl/>
        <w:spacing w:after="0"/>
        <w:ind w:firstLine="0"/>
      </w:pPr>
      <w:r>
        <w:rPr>
          <w:rFonts w:ascii="Times New Roman" w:hAnsi="Times New Roman" w:eastAsia="Noto Serif CJK SC"/>
          <w:sz w:val="22"/>
        </w:rPr>
        <w:t>12.2 乙方使用关联公司、合作顾问或其他第三方参与候选人寻访的：不免除乙方任何合同责任；乙方应确保相关主体具有开展相关活动所需资质；乙方应确保其遵守本协议关于个人信息、保密及禁止反向猎取的要求；乙方应确保向其提供相关数据具有合法依据。</w:t>
      </w:r>
    </w:p>
    <w:p>
      <w:pPr>
        <w:widowControl/>
        <w:spacing w:after="0"/>
        <w:ind w:firstLine="0"/>
      </w:pPr>
      <w:r>
        <w:rPr>
          <w:rFonts w:ascii="Times New Roman" w:hAnsi="Times New Roman" w:eastAsia="Noto Serif CJK SC"/>
          <w:sz w:val="22"/>
        </w:rPr>
        <w:t>12.3 乙方不得利用在为甲方服务过程中获得的非公开招聘计划、薪酬信息、组织调整信息，为甲方竞争对手定向猎取甲方员工或者从事其他明显损害甲方利益的活动。</w:t>
      </w:r>
    </w:p>
    <w:p>
      <w:pPr>
        <w:keepNext/>
        <w:widowControl/>
        <w:spacing w:before="140" w:after="60"/>
      </w:pPr>
      <w:r>
        <w:rPr>
          <w:rFonts w:ascii="Times New Roman" w:hAnsi="Times New Roman" w:eastAsia="Noto Serif CJK SC"/>
          <w:b/>
          <w:sz w:val="24"/>
        </w:rPr>
        <w:t>第十三条  商业道德与合规</w:t>
      </w:r>
    </w:p>
    <w:p>
      <w:pPr>
        <w:widowControl/>
        <w:spacing w:after="0"/>
        <w:ind w:firstLine="0"/>
      </w:pPr>
      <w:r>
        <w:rPr>
          <w:rFonts w:ascii="Times New Roman" w:hAnsi="Times New Roman" w:eastAsia="Noto Serif CJK SC"/>
          <w:sz w:val="22"/>
        </w:rPr>
        <w:t>13.1 乙方及其员工、顾问和其他代表不得：向甲方员工提供或承诺回扣、佣金或其他不正当利益；虚构候选人；与候选人串通虚假入职；故意虚增候选人薪酬；隐瞒重复候选人事实；伪造招聘、入职或结算资料；以其他欺诈方式获取服务费。</w:t>
      </w:r>
    </w:p>
    <w:p>
      <w:pPr>
        <w:widowControl/>
        <w:spacing w:after="0"/>
        <w:ind w:firstLine="0"/>
      </w:pPr>
      <w:r>
        <w:rPr>
          <w:rFonts w:ascii="Times New Roman" w:hAnsi="Times New Roman" w:eastAsia="Noto Serif CJK SC"/>
          <w:sz w:val="22"/>
        </w:rPr>
        <w:t>13.2 发生上述行为的，甲方有权：立即解除本协议；拒绝支付与相关行为有关的未付款项；要求乙方退还已经取得的不当服务费；要求乙方赔偿因此产生的损失。</w:t>
      </w:r>
    </w:p>
    <w:p>
      <w:pPr>
        <w:keepNext/>
        <w:widowControl/>
        <w:spacing w:before="140" w:after="60"/>
      </w:pPr>
      <w:r>
        <w:rPr>
          <w:rFonts w:ascii="Times New Roman" w:hAnsi="Times New Roman" w:eastAsia="Noto Serif CJK SC"/>
          <w:b/>
          <w:sz w:val="24"/>
        </w:rPr>
        <w:t>第十四条  协议期限与解除</w:t>
      </w:r>
    </w:p>
    <w:p>
      <w:pPr>
        <w:widowControl/>
        <w:spacing w:after="0"/>
        <w:ind w:firstLine="0"/>
      </w:pPr>
      <w:r>
        <w:rPr>
          <w:rFonts w:ascii="Times New Roman" w:hAnsi="Times New Roman" w:eastAsia="Noto Serif CJK SC"/>
          <w:sz w:val="22"/>
        </w:rPr>
        <w:t>14.1 本协议有效期自2026年8月1日起至2027年7月31日止。期限届满前30日内任何一方未书面提出不续约的，本协议自动顺延一年。</w:t>
      </w:r>
    </w:p>
    <w:p>
      <w:pPr>
        <w:widowControl/>
        <w:spacing w:after="0"/>
        <w:ind w:firstLine="0"/>
      </w:pPr>
      <w:r>
        <w:rPr>
          <w:rFonts w:ascii="Times New Roman" w:hAnsi="Times New Roman" w:eastAsia="Noto Serif CJK SC"/>
          <w:sz w:val="22"/>
        </w:rPr>
        <w:t>14.2 任何一方均可提前30个工作日书面通知另一方解除本协议。甲方在乙方已安排候选人进入首轮面试后取消相应职位的，仍应按照第2.1条承担项目取消费。</w:t>
      </w:r>
    </w:p>
    <w:p>
      <w:pPr>
        <w:widowControl/>
        <w:spacing w:after="0"/>
        <w:ind w:firstLine="0"/>
      </w:pPr>
      <w:r>
        <w:rPr>
          <w:rFonts w:ascii="Times New Roman" w:hAnsi="Times New Roman" w:eastAsia="Noto Serif CJK SC"/>
          <w:sz w:val="22"/>
        </w:rPr>
        <w:t>14.3 乙方发生以下任一情形，甲方有权立即解除本协议：丧失法定服务资质；提供重大虚假候选人信息；严重违反个人信息保护义务；严重违反保密义务；违反禁止反向猎取义务；发生商业贿赂或欺诈；未经许可擅自整体转委托；其他重大违约，且经甲方要求后未在合理期限内改正。</w:t>
      </w:r>
    </w:p>
    <w:p>
      <w:pPr>
        <w:widowControl/>
        <w:spacing w:after="0"/>
        <w:ind w:firstLine="0"/>
      </w:pPr>
      <w:r>
        <w:rPr>
          <w:rFonts w:ascii="Times New Roman" w:hAnsi="Times New Roman" w:eastAsia="Noto Serif CJK SC"/>
          <w:sz w:val="22"/>
        </w:rPr>
        <w:t>14.4 本协议解除或终止不影响乙方对终止前12个月内已经向甲方发送过候选人信息的候选人享有的推荐保护权；前述候选人自协议终止之日起继续适用12个月保护期，无需乙方另行提交或由甲方确认候选人清单。</w:t>
      </w:r>
    </w:p>
    <w:p>
      <w:pPr>
        <w:widowControl/>
        <w:spacing w:after="0"/>
        <w:ind w:firstLine="0"/>
      </w:pPr>
      <w:r>
        <w:rPr>
          <w:rFonts w:ascii="Times New Roman" w:hAnsi="Times New Roman" w:eastAsia="Noto Serif CJK SC"/>
          <w:sz w:val="22"/>
        </w:rPr>
        <w:t>14.5 下列条款不因本协议到期、解除或终止而失效：已产生的付款义务；保证期；退款或替补责任；保密；个人信息保护；禁止反向猎取；违约责任；争议解决。</w:t>
      </w:r>
    </w:p>
    <w:p>
      <w:pPr>
        <w:keepNext/>
        <w:widowControl/>
        <w:spacing w:before="140" w:after="60"/>
      </w:pPr>
      <w:r>
        <w:rPr>
          <w:rFonts w:ascii="Times New Roman" w:hAnsi="Times New Roman" w:eastAsia="Noto Serif CJK SC"/>
          <w:b/>
          <w:sz w:val="24"/>
        </w:rPr>
        <w:t>第十五条  违约责任</w:t>
      </w:r>
    </w:p>
    <w:p>
      <w:pPr>
        <w:widowControl/>
        <w:spacing w:after="0"/>
        <w:ind w:firstLine="0"/>
      </w:pPr>
      <w:r>
        <w:rPr>
          <w:rFonts w:ascii="Times New Roman" w:hAnsi="Times New Roman" w:eastAsia="Noto Serif CJK SC"/>
          <w:sz w:val="22"/>
        </w:rPr>
        <w:t>15.1 任何一方违反本协议并给对方造成损失的，应依法承担赔偿责任。</w:t>
      </w:r>
    </w:p>
    <w:p>
      <w:pPr>
        <w:widowControl/>
        <w:spacing w:after="0"/>
        <w:ind w:firstLine="0"/>
      </w:pPr>
      <w:r>
        <w:rPr>
          <w:rFonts w:ascii="Times New Roman" w:hAnsi="Times New Roman" w:eastAsia="Noto Serif CJK SC"/>
          <w:sz w:val="22"/>
        </w:rPr>
        <w:t>15.2 除乙方存在欺诈或故意违法行为外，乙方因本协议承担的累计赔偿责任以导致索赔事项发生前12个月内甲方实际向乙方支付的服务费总额为限。任何一方均不对对方的间接损失、预期利益损失、商誉损失承担责任。候选人自身提供虚假信息、候选人离职或工作表现造成的损失不属于乙方赔偿范围。</w:t>
      </w:r>
    </w:p>
    <w:p>
      <w:pPr>
        <w:widowControl/>
        <w:spacing w:after="0"/>
        <w:ind w:firstLine="0"/>
      </w:pPr>
      <w:r>
        <w:rPr>
          <w:rFonts w:ascii="Times New Roman" w:hAnsi="Times New Roman" w:eastAsia="Noto Serif CJK SC"/>
          <w:sz w:val="22"/>
        </w:rPr>
        <w:t>15.3 违约方还应承担守约方为维护合法权益合理产生的诉讼费、仲裁费、保全费、保全保险费、律师费、鉴定费、调查取证费、差旅费以及其他合理费用。</w:t>
      </w:r>
    </w:p>
    <w:p>
      <w:pPr>
        <w:keepNext/>
        <w:widowControl/>
        <w:spacing w:before="140" w:after="60"/>
      </w:pPr>
      <w:r>
        <w:rPr>
          <w:rFonts w:ascii="Times New Roman" w:hAnsi="Times New Roman" w:eastAsia="Noto Serif CJK SC"/>
          <w:b/>
          <w:sz w:val="24"/>
        </w:rPr>
        <w:t>第十六条  收款账户</w:t>
      </w:r>
    </w:p>
    <w:p>
      <w:pPr>
        <w:widowControl/>
        <w:spacing w:after="0"/>
        <w:ind w:firstLine="0"/>
      </w:pPr>
      <w:r>
        <w:rPr>
          <w:rFonts w:ascii="Times New Roman" w:hAnsi="Times New Roman" w:eastAsia="Noto Serif CJK SC"/>
          <w:sz w:val="22"/>
        </w:rPr>
        <w:t>16.1 乙方指定以下账户作为本协议唯一有效收款账户：</w:t>
      </w:r>
    </w:p>
    <w:tbl>
      <w:tblPr>
        <w:tblW w:type="auto" w:w="0"/>
        <w:jc w:val="left"/>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57"/>
        <w:gridCol w:w="5783"/>
      </w:tblGrid>
      <w:tr>
        <w:tc>
          <w:tcPr>
            <w:tcW w:type="dxa" w:w="4564"/>
            <w:vAlign w:val="center"/>
            <w:tcMar>
              <w:top w:w="60" w:type="dxa"/>
              <w:start w:w="100" w:type="dxa"/>
              <w:bottom w:w="60" w:type="dxa"/>
              <w:end w:w="100" w:type="dxa"/>
            </w:tcMar>
            <w:shd w:fill="F7F7F7"/>
          </w:tcPr>
          <w:p>
            <w:pPr>
              <w:spacing w:lineRule="exact" w:line="340" w:after="0"/>
            </w:pPr>
            <w:r>
              <w:rPr>
                <w:rFonts w:ascii="Times New Roman" w:hAnsi="Times New Roman" w:eastAsia="Noto Serif CJK SC"/>
                <w:b/>
                <w:sz w:val="21"/>
              </w:rPr>
              <w:t>开户名称：</w:t>
            </w:r>
          </w:p>
        </w:tc>
        <w:tc>
          <w:tcPr>
            <w:tcW w:type="dxa" w:w="4564"/>
            <w:vAlign w:val="center"/>
            <w:tcMar>
              <w:top w:w="60" w:type="dxa"/>
              <w:start w:w="100" w:type="dxa"/>
              <w:bottom w:w="60" w:type="dxa"/>
              <w:end w:w="100" w:type="dxa"/>
            </w:tcMar>
          </w:tcPr>
          <w:p>
            <w:pPr>
              <w:spacing w:lineRule="exact" w:line="340" w:after="0"/>
            </w:pPr>
            <w:r>
              <w:rPr>
                <w:rFonts w:ascii="Times New Roman" w:hAnsi="Times New Roman" w:eastAsia="Noto Serif CJK SC"/>
                <w:b w:val="0"/>
                <w:sz w:val="21"/>
              </w:rPr>
              <w:t>上海卓衡人才咨询有限公司</w:t>
            </w:r>
          </w:p>
        </w:tc>
      </w:tr>
      <w:tr>
        <w:tc>
          <w:tcPr>
            <w:tcW w:type="dxa" w:w="4564"/>
            <w:vAlign w:val="center"/>
            <w:tcMar>
              <w:top w:w="60" w:type="dxa"/>
              <w:start w:w="100" w:type="dxa"/>
              <w:bottom w:w="60" w:type="dxa"/>
              <w:end w:w="100" w:type="dxa"/>
            </w:tcMar>
            <w:shd w:fill="F7F7F7"/>
          </w:tcPr>
          <w:p>
            <w:pPr>
              <w:spacing w:lineRule="exact" w:line="340" w:after="0"/>
            </w:pPr>
            <w:r>
              <w:rPr>
                <w:rFonts w:ascii="Times New Roman" w:hAnsi="Times New Roman" w:eastAsia="Noto Serif CJK SC"/>
                <w:b/>
                <w:sz w:val="21"/>
              </w:rPr>
              <w:t>开户银行：</w:t>
            </w:r>
          </w:p>
        </w:tc>
        <w:tc>
          <w:tcPr>
            <w:tcW w:type="dxa" w:w="4564"/>
            <w:vAlign w:val="center"/>
            <w:tcMar>
              <w:top w:w="60" w:type="dxa"/>
              <w:start w:w="100" w:type="dxa"/>
              <w:bottom w:w="60" w:type="dxa"/>
              <w:end w:w="100" w:type="dxa"/>
            </w:tcMar>
          </w:tcPr>
          <w:p>
            <w:pPr>
              <w:spacing w:lineRule="exact" w:line="340" w:after="0"/>
            </w:pPr>
            <w:r>
              <w:rPr>
                <w:rFonts w:ascii="Times New Roman" w:hAnsi="Times New Roman" w:eastAsia="Noto Serif CJK SC"/>
                <w:b w:val="0"/>
                <w:sz w:val="21"/>
              </w:rPr>
              <w:t>中国银行上海浦东支行</w:t>
            </w:r>
          </w:p>
        </w:tc>
      </w:tr>
      <w:tr>
        <w:tc>
          <w:tcPr>
            <w:tcW w:type="dxa" w:w="4564"/>
            <w:vAlign w:val="center"/>
            <w:tcMar>
              <w:top w:w="60" w:type="dxa"/>
              <w:start w:w="100" w:type="dxa"/>
              <w:bottom w:w="60" w:type="dxa"/>
              <w:end w:w="100" w:type="dxa"/>
            </w:tcMar>
            <w:shd w:fill="F7F7F7"/>
          </w:tcPr>
          <w:p>
            <w:pPr>
              <w:spacing w:lineRule="exact" w:line="340" w:after="0"/>
            </w:pPr>
            <w:r>
              <w:rPr>
                <w:rFonts w:ascii="Times New Roman" w:hAnsi="Times New Roman" w:eastAsia="Noto Serif CJK SC"/>
                <w:b/>
                <w:sz w:val="21"/>
              </w:rPr>
              <w:t>银行账号：</w:t>
            </w:r>
          </w:p>
        </w:tc>
        <w:tc>
          <w:tcPr>
            <w:tcW w:type="dxa" w:w="4564"/>
            <w:vAlign w:val="center"/>
            <w:tcMar>
              <w:top w:w="60" w:type="dxa"/>
              <w:start w:w="100" w:type="dxa"/>
              <w:bottom w:w="60" w:type="dxa"/>
              <w:end w:w="100" w:type="dxa"/>
            </w:tcMar>
          </w:tcPr>
          <w:p>
            <w:pPr>
              <w:spacing w:lineRule="exact" w:line="340" w:after="0"/>
            </w:pPr>
            <w:r>
              <w:rPr>
                <w:rFonts w:ascii="Times New Roman" w:hAnsi="Times New Roman" w:eastAsia="Noto Serif CJK SC"/>
                <w:b w:val="0"/>
                <w:sz w:val="21"/>
              </w:rPr>
              <w:t>438000000000123456</w:t>
            </w:r>
          </w:p>
        </w:tc>
      </w:tr>
    </w:tbl>
    <w:p>
      <w:pPr>
        <w:widowControl/>
        <w:spacing w:after="0"/>
        <w:ind w:firstLine="0"/>
      </w:pPr>
      <w:r>
        <w:rPr>
          <w:rFonts w:ascii="Times New Roman" w:hAnsi="Times New Roman" w:eastAsia="Noto Serif CJK SC"/>
          <w:sz w:val="22"/>
        </w:rPr>
        <w:t>16.2 甲方仅向上述账户付款。乙方变更收款账户的，应至少提前5个工作日向甲方提供加盖乙方公章的书面账户变更通知。</w:t>
      </w:r>
    </w:p>
    <w:p>
      <w:pPr>
        <w:widowControl/>
        <w:spacing w:after="0"/>
        <w:ind w:firstLine="0"/>
      </w:pPr>
      <w:r>
        <w:rPr>
          <w:rFonts w:ascii="Times New Roman" w:hAnsi="Times New Roman" w:eastAsia="Noto Serif CJK SC"/>
          <w:sz w:val="22"/>
        </w:rPr>
        <w:t>16.3 乙方员工通过电话、微信、即时通讯工具或普通电子邮件发送的账户变更信息，除经甲方另行核验确认外，不构成有效账户变更通知。</w:t>
      </w:r>
    </w:p>
    <w:p>
      <w:pPr>
        <w:keepNext/>
        <w:widowControl/>
        <w:spacing w:before="140" w:after="60"/>
      </w:pPr>
      <w:r>
        <w:rPr>
          <w:rFonts w:ascii="Times New Roman" w:hAnsi="Times New Roman" w:eastAsia="Noto Serif CJK SC"/>
          <w:b/>
          <w:sz w:val="24"/>
        </w:rPr>
        <w:t>第十七条  不可抗力</w:t>
      </w:r>
    </w:p>
    <w:p>
      <w:pPr>
        <w:widowControl/>
        <w:spacing w:after="0"/>
        <w:ind w:firstLine="0"/>
      </w:pPr>
      <w:r>
        <w:rPr>
          <w:rFonts w:ascii="Times New Roman" w:hAnsi="Times New Roman" w:eastAsia="Noto Serif CJK SC"/>
          <w:sz w:val="22"/>
        </w:rPr>
        <w:t>17.1 因不可抗力导致一方不能全部或部分履行本协议的，受影响方应及时通知另一方，并采取合理措施减少损失。</w:t>
      </w:r>
    </w:p>
    <w:p>
      <w:pPr>
        <w:widowControl/>
        <w:spacing w:after="0"/>
        <w:ind w:firstLine="0"/>
      </w:pPr>
      <w:r>
        <w:rPr>
          <w:rFonts w:ascii="Times New Roman" w:hAnsi="Times New Roman" w:eastAsia="Noto Serif CJK SC"/>
          <w:sz w:val="22"/>
        </w:rPr>
        <w:t>17.2 不可抗力仅影响受影响范围内的义务。</w:t>
      </w:r>
    </w:p>
    <w:p>
      <w:pPr>
        <w:widowControl/>
        <w:spacing w:after="0"/>
        <w:ind w:firstLine="0"/>
      </w:pPr>
      <w:r>
        <w:rPr>
          <w:rFonts w:ascii="Times New Roman" w:hAnsi="Times New Roman" w:eastAsia="Noto Serif CJK SC"/>
          <w:sz w:val="22"/>
        </w:rPr>
        <w:t>17.3 不可抗力持续导致合同目的无法实现的，甲方有权解除本协议，双方按照实际已经完成并符合本协议付款条件的服务进行结算。</w:t>
      </w:r>
    </w:p>
    <w:p>
      <w:pPr>
        <w:keepNext/>
        <w:widowControl/>
        <w:spacing w:before="140" w:after="60"/>
      </w:pPr>
      <w:r>
        <w:rPr>
          <w:rFonts w:ascii="Times New Roman" w:hAnsi="Times New Roman" w:eastAsia="Noto Serif CJK SC"/>
          <w:b/>
          <w:sz w:val="24"/>
        </w:rPr>
        <w:t>第十八条  通知与送达</w:t>
      </w:r>
    </w:p>
    <w:p>
      <w:pPr>
        <w:widowControl/>
        <w:spacing w:after="0"/>
        <w:ind w:firstLine="0"/>
      </w:pPr>
      <w:r>
        <w:rPr>
          <w:rFonts w:ascii="Times New Roman" w:hAnsi="Times New Roman" w:eastAsia="Noto Serif CJK SC"/>
          <w:sz w:val="22"/>
        </w:rPr>
        <w:t>18.1 具体职位需求、候选人推荐、面试安排、招聘反馈等日常业务事项，可以通过电子邮件、企业微信、微信、招聘系统或双方日常认可的其他可留痕方式进行。</w:t>
      </w:r>
    </w:p>
    <w:p>
      <w:pPr>
        <w:widowControl/>
        <w:spacing w:after="0"/>
        <w:ind w:firstLine="0"/>
      </w:pPr>
      <w:r>
        <w:rPr>
          <w:rFonts w:ascii="Times New Roman" w:hAnsi="Times New Roman" w:eastAsia="Noto Serif CJK SC"/>
          <w:sz w:val="22"/>
        </w:rPr>
        <w:t>18.2 涉及合同解除、重大违约、服务费争议、退款、索赔、账户变更等重要事项，应发送至本协议首页约定的电子邮箱或以双方能够确认送达的书面方式发送。</w:t>
      </w:r>
    </w:p>
    <w:p>
      <w:pPr>
        <w:widowControl/>
        <w:spacing w:after="0"/>
        <w:ind w:firstLine="0"/>
      </w:pPr>
      <w:r>
        <w:rPr>
          <w:rFonts w:ascii="Times New Roman" w:hAnsi="Times New Roman" w:eastAsia="Noto Serif CJK SC"/>
          <w:sz w:val="22"/>
        </w:rPr>
        <w:t>18.3 任何一方联系人、地址或电子邮箱发生变化，应及时通知另一方。未通知导致相关文件按照原联系方式发送的，由未通知方承担相应后果。</w:t>
      </w:r>
    </w:p>
    <w:p>
      <w:pPr>
        <w:keepNext/>
        <w:widowControl/>
        <w:spacing w:before="140" w:after="60"/>
      </w:pPr>
      <w:r>
        <w:rPr>
          <w:rFonts w:ascii="Times New Roman" w:hAnsi="Times New Roman" w:eastAsia="Noto Serif CJK SC"/>
          <w:b/>
          <w:sz w:val="24"/>
        </w:rPr>
        <w:t>第十九条  法律适用与争议解决</w:t>
      </w:r>
    </w:p>
    <w:p>
      <w:pPr>
        <w:widowControl/>
        <w:spacing w:after="0"/>
        <w:ind w:firstLine="0"/>
      </w:pPr>
      <w:r>
        <w:rPr>
          <w:rFonts w:ascii="Times New Roman" w:hAnsi="Times New Roman" w:eastAsia="Noto Serif CJK SC"/>
          <w:sz w:val="22"/>
        </w:rPr>
        <w:t>19.1 本协议的订立、效力、解释、履行及争议解决均适用中华人民共和国法律。</w:t>
      </w:r>
    </w:p>
    <w:p>
      <w:pPr>
        <w:widowControl/>
        <w:spacing w:after="0"/>
        <w:ind w:firstLine="0"/>
      </w:pPr>
      <w:r>
        <w:rPr>
          <w:rFonts w:ascii="Times New Roman" w:hAnsi="Times New Roman" w:eastAsia="Noto Serif CJK SC"/>
          <w:sz w:val="22"/>
        </w:rPr>
        <w:t>19.2 双方因本协议发生争议，应首先友好协商解决。协商不成的，任何一方均有权向乙方所在地有管辖权的人民法院提起诉讼。</w:t>
      </w:r>
    </w:p>
    <w:p>
      <w:pPr>
        <w:keepNext/>
        <w:widowControl/>
        <w:spacing w:before="140" w:after="60"/>
      </w:pPr>
      <w:r>
        <w:rPr>
          <w:rFonts w:ascii="Times New Roman" w:hAnsi="Times New Roman" w:eastAsia="Noto Serif CJK SC"/>
          <w:b/>
          <w:sz w:val="24"/>
        </w:rPr>
        <w:t>第二十条  其他</w:t>
      </w:r>
    </w:p>
    <w:p>
      <w:pPr>
        <w:widowControl/>
        <w:spacing w:after="0"/>
        <w:ind w:firstLine="0"/>
      </w:pPr>
      <w:r>
        <w:rPr>
          <w:rFonts w:ascii="Times New Roman" w:hAnsi="Times New Roman" w:eastAsia="Noto Serif CJK SC"/>
          <w:sz w:val="22"/>
        </w:rPr>
        <w:t>20.1 本协议及双方就具体职位形成的职位确认单、报价单、电子邮件共同构成双方完整约定。具体职位文件对费率、计费基数、保证期、推荐保护期或其他商业条件另有约定的，以具体职位文件为准。</w:t>
      </w:r>
    </w:p>
    <w:p>
      <w:pPr>
        <w:widowControl/>
        <w:spacing w:after="0"/>
        <w:ind w:firstLine="0"/>
      </w:pPr>
      <w:r>
        <w:rPr>
          <w:rFonts w:ascii="Times New Roman" w:hAnsi="Times New Roman" w:eastAsia="Noto Serif CJK SC"/>
          <w:sz w:val="22"/>
        </w:rPr>
        <w:t>20.2 本协议的修改、补充应以双方书面确认的方式作出。</w:t>
      </w:r>
    </w:p>
    <w:p>
      <w:pPr>
        <w:widowControl/>
        <w:spacing w:after="0"/>
        <w:ind w:firstLine="0"/>
      </w:pPr>
      <w:r>
        <w:rPr>
          <w:rFonts w:ascii="Times New Roman" w:hAnsi="Times New Roman" w:eastAsia="Noto Serif CJK SC"/>
          <w:sz w:val="22"/>
        </w:rPr>
        <w:t>20.3 本协议任何条款被认定无效、违法或不可执行，不影响其他条款的效力。双方应尽可能以合法有效且最接近原商业目的的安排替代该条款。</w:t>
      </w:r>
    </w:p>
    <w:p>
      <w:pPr>
        <w:widowControl/>
        <w:spacing w:after="0"/>
        <w:ind w:firstLine="0"/>
      </w:pPr>
      <w:r>
        <w:rPr>
          <w:rFonts w:ascii="Times New Roman" w:hAnsi="Times New Roman" w:eastAsia="Noto Serif CJK SC"/>
          <w:sz w:val="22"/>
        </w:rPr>
        <w:t>20.4 任何一方未立即行使或者延迟行使本协议项下权利，不构成对该权利的放弃。一次行使或者部分行使权利，不妨碍其以后继续行使。</w:t>
      </w:r>
    </w:p>
    <w:p>
      <w:pPr>
        <w:widowControl/>
        <w:spacing w:after="0"/>
        <w:ind w:firstLine="0"/>
      </w:pPr>
      <w:r>
        <w:rPr>
          <w:rFonts w:ascii="Times New Roman" w:hAnsi="Times New Roman" w:eastAsia="Noto Serif CJK SC"/>
          <w:sz w:val="22"/>
        </w:rPr>
        <w:t>20.5 本协议自双方盖章之日起生效。本协议一式【贰】份，甲、乙双方各执【壹】份，具有同等法律效力。电子签署的协议与纸质盖章协议具有同等效力。</w:t>
      </w:r>
    </w:p>
    <w:p>
      <w:pPr>
        <w:widowControl/>
      </w:pPr>
      <w:r>
        <w:br w:type="page"/>
      </w:r>
    </w:p>
    <w:p>
      <w:pPr>
        <w:widowControl/>
        <w:spacing w:after="240"/>
      </w:pPr>
      <w:r>
        <w:rPr>
          <w:rFonts w:ascii="Times New Roman" w:hAnsi="Times New Roman" w:eastAsia="Noto Serif CJK SC"/>
          <w:sz w:val="22"/>
        </w:rPr>
        <w:t>（以下无正文，为签署页）</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309"/>
        <w:gridCol w:w="4309"/>
      </w:tblGrid>
      <w:tr>
        <w:tc>
          <w:tcPr>
            <w:tcW w:type="dxa" w:w="4564"/>
            <w:vAlign w:val="top"/>
            <w:tcMar>
              <w:top w:w="80" w:type="dxa"/>
              <w:start w:w="0" w:type="dxa"/>
              <w:bottom w:w="120" w:type="dxa"/>
              <w:end w:w="140" w:type="dxa"/>
            </w:tcMar>
          </w:tcPr>
          <w:p>
            <w:pPr>
              <w:spacing w:lineRule="exact" w:line="360" w:after="80"/>
            </w:pPr>
            <w:r>
              <w:rPr>
                <w:rFonts w:ascii="Times New Roman" w:hAnsi="Times New Roman" w:eastAsia="Noto Serif CJK SC"/>
                <w:b/>
                <w:sz w:val="22"/>
              </w:rPr>
              <w:t>甲方：</w:t>
            </w:r>
          </w:p>
        </w:tc>
        <w:tc>
          <w:tcPr>
            <w:tcW w:type="dxa" w:w="4564"/>
            <w:vAlign w:val="top"/>
            <w:tcMar>
              <w:top w:w="80" w:type="dxa"/>
              <w:start w:w="0" w:type="dxa"/>
              <w:bottom w:w="120" w:type="dxa"/>
              <w:end w:w="140" w:type="dxa"/>
            </w:tcMar>
          </w:tcPr>
          <w:p>
            <w:pPr>
              <w:spacing w:lineRule="exact" w:line="360" w:after="80"/>
            </w:pPr>
            <w:r>
              <w:rPr>
                <w:rFonts w:ascii="Times New Roman" w:hAnsi="Times New Roman" w:eastAsia="Noto Serif CJK SC"/>
                <w:b/>
                <w:sz w:val="22"/>
              </w:rPr>
              <w:t>乙方：</w:t>
            </w:r>
          </w:p>
        </w:tc>
      </w:tr>
      <w:tr>
        <w:tc>
          <w:tcPr>
            <w:tcW w:type="dxa" w:w="4564"/>
            <w:vAlign w:val="top"/>
            <w:tcMar>
              <w:top w:w="80" w:type="dxa"/>
              <w:start w:w="0" w:type="dxa"/>
              <w:bottom w:w="120" w:type="dxa"/>
              <w:end w:w="140" w:type="dxa"/>
            </w:tcMar>
          </w:tcPr>
          <w:p>
            <w:pPr>
              <w:spacing w:lineRule="exact" w:line="340" w:after="0"/>
            </w:pPr>
            <w:r>
              <w:rPr>
                <w:rFonts w:ascii="Times New Roman" w:hAnsi="Times New Roman" w:eastAsia="Noto Serif CJK SC"/>
                <w:b w:val="0"/>
                <w:sz w:val="21"/>
              </w:rPr>
              <w:t>名称：北京启岳智能科技有限公司</w:t>
            </w:r>
          </w:p>
        </w:tc>
        <w:tc>
          <w:tcPr>
            <w:tcW w:type="dxa" w:w="4564"/>
            <w:vAlign w:val="top"/>
            <w:tcMar>
              <w:top w:w="80" w:type="dxa"/>
              <w:start w:w="0" w:type="dxa"/>
              <w:bottom w:w="120" w:type="dxa"/>
              <w:end w:w="140" w:type="dxa"/>
            </w:tcMar>
          </w:tcPr>
          <w:p>
            <w:pPr>
              <w:spacing w:lineRule="exact" w:line="340" w:after="0"/>
            </w:pPr>
            <w:r>
              <w:rPr>
                <w:rFonts w:ascii="Times New Roman" w:hAnsi="Times New Roman" w:eastAsia="Noto Serif CJK SC"/>
                <w:b w:val="0"/>
                <w:sz w:val="21"/>
              </w:rPr>
              <w:t>名称：上海卓衡人才咨询有限公司</w:t>
            </w:r>
          </w:p>
        </w:tc>
      </w:tr>
      <w:tr>
        <w:tc>
          <w:tcPr>
            <w:tcW w:type="dxa" w:w="4564"/>
            <w:vAlign w:val="top"/>
            <w:tcMar>
              <w:top w:w="80" w:type="dxa"/>
              <w:start w:w="0" w:type="dxa"/>
              <w:bottom w:w="120" w:type="dxa"/>
              <w:end w:w="140" w:type="dxa"/>
            </w:tcMar>
          </w:tcPr>
          <w:p>
            <w:pPr>
              <w:spacing w:lineRule="exact" w:line="360" w:after="200"/>
            </w:pPr>
            <w:r>
              <w:rPr>
                <w:rFonts w:ascii="Times New Roman" w:hAnsi="Times New Roman" w:eastAsia="Noto Serif CJK SC"/>
                <w:b w:val="0"/>
                <w:sz w:val="22"/>
              </w:rPr>
              <w:t>盖章：</w:t>
            </w:r>
          </w:p>
        </w:tc>
        <w:tc>
          <w:tcPr>
            <w:tcW w:type="dxa" w:w="4564"/>
            <w:vAlign w:val="top"/>
            <w:tcMar>
              <w:top w:w="80" w:type="dxa"/>
              <w:start w:w="0" w:type="dxa"/>
              <w:bottom w:w="120" w:type="dxa"/>
              <w:end w:w="140" w:type="dxa"/>
            </w:tcMar>
          </w:tcPr>
          <w:p>
            <w:pPr>
              <w:spacing w:lineRule="exact" w:line="360" w:after="200"/>
            </w:pPr>
            <w:r>
              <w:rPr>
                <w:rFonts w:ascii="Times New Roman" w:hAnsi="Times New Roman" w:eastAsia="Noto Serif CJK SC"/>
                <w:b w:val="0"/>
                <w:sz w:val="22"/>
              </w:rPr>
              <w:t>盖章：</w:t>
            </w:r>
          </w:p>
        </w:tc>
      </w:tr>
      <w:tr>
        <w:tc>
          <w:tcPr>
            <w:tcW w:type="dxa" w:w="4564"/>
            <w:vAlign w:val="top"/>
            <w:tcMar>
              <w:top w:w="80" w:type="dxa"/>
              <w:start w:w="0" w:type="dxa"/>
              <w:bottom w:w="120" w:type="dxa"/>
              <w:end w:w="140" w:type="dxa"/>
            </w:tcMar>
          </w:tcPr>
          <w:p>
            <w:pPr>
              <w:spacing w:lineRule="exact" w:line="360" w:after="200"/>
            </w:pPr>
            <w:r>
              <w:rPr>
                <w:rFonts w:ascii="Times New Roman" w:hAnsi="Times New Roman" w:eastAsia="Noto Serif CJK SC"/>
                <w:b w:val="0"/>
                <w:sz w:val="22"/>
              </w:rPr>
              <w:t>法定代表人/授权代表：</w:t>
            </w:r>
          </w:p>
        </w:tc>
        <w:tc>
          <w:tcPr>
            <w:tcW w:type="dxa" w:w="4564"/>
            <w:vAlign w:val="top"/>
            <w:tcMar>
              <w:top w:w="80" w:type="dxa"/>
              <w:start w:w="0" w:type="dxa"/>
              <w:bottom w:w="120" w:type="dxa"/>
              <w:end w:w="140" w:type="dxa"/>
            </w:tcMar>
          </w:tcPr>
          <w:p>
            <w:pPr>
              <w:spacing w:lineRule="exact" w:line="360" w:after="200"/>
            </w:pPr>
            <w:r>
              <w:rPr>
                <w:rFonts w:ascii="Times New Roman" w:hAnsi="Times New Roman" w:eastAsia="Noto Serif CJK SC"/>
                <w:b w:val="0"/>
                <w:sz w:val="22"/>
              </w:rPr>
              <w:t>法定代表人/授权代表：</w:t>
            </w:r>
          </w:p>
        </w:tc>
      </w:tr>
      <w:tr>
        <w:tc>
          <w:tcPr>
            <w:tcW w:type="dxa" w:w="4564"/>
            <w:vAlign w:val="top"/>
            <w:tcMar>
              <w:top w:w="80" w:type="dxa"/>
              <w:start w:w="0" w:type="dxa"/>
              <w:bottom w:w="120" w:type="dxa"/>
              <w:end w:w="140" w:type="dxa"/>
            </w:tcMar>
          </w:tcPr>
          <w:p>
            <w:pPr>
              <w:spacing w:lineRule="exact" w:line="340" w:after="0"/>
            </w:pPr>
            <w:r>
              <w:rPr>
                <w:rFonts w:ascii="Times New Roman" w:hAnsi="Times New Roman" w:eastAsia="Noto Serif CJK SC"/>
                <w:b w:val="0"/>
                <w:sz w:val="21"/>
              </w:rPr>
              <w:t>签署日期：2026年8月8日</w:t>
            </w:r>
          </w:p>
        </w:tc>
        <w:tc>
          <w:tcPr>
            <w:tcW w:type="dxa" w:w="4564"/>
            <w:vAlign w:val="top"/>
            <w:tcMar>
              <w:top w:w="80" w:type="dxa"/>
              <w:start w:w="0" w:type="dxa"/>
              <w:bottom w:w="120" w:type="dxa"/>
              <w:end w:w="140" w:type="dxa"/>
            </w:tcMar>
          </w:tcPr>
          <w:p>
            <w:pPr>
              <w:spacing w:lineRule="exact" w:line="340" w:after="0"/>
            </w:pPr>
            <w:r>
              <w:rPr>
                <w:rFonts w:ascii="Times New Roman" w:hAnsi="Times New Roman" w:eastAsia="Noto Serif CJK SC"/>
                <w:b w:val="0"/>
                <w:sz w:val="21"/>
              </w:rPr>
              <w:t>签署日期：2026年8月8日</w:t>
            </w:r>
          </w:p>
        </w:tc>
      </w:tr>
    </w:tbl>
    <w:sectPr w:rsidR="00FC693F" w:rsidRPr="0006063C" w:rsidSect="00034616">
      <w:footerReference w:type="default" r:id="rId9"/>
      <w:pgSz w:w="11906" w:h="16838"/>
      <w:pgMar w:top="1276" w:right="1389" w:bottom="1247" w:left="1389" w:header="680"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Times New Roman" w:hAnsi="Times New Roman" w:eastAsia="Noto Serif CJK SC"/>
        <w:sz w:val="18"/>
      </w:rPr>
      <w:t xml:space="preserve">第 </w:t>
    </w:r>
    <w:r>
      <w:rPr>
        <w:rFonts w:ascii="Times New Roman" w:hAnsi="Times New Roman" w:eastAsia="Noto Serif CJK SC"/>
        <w:sz w:val="18"/>
      </w:rPr>
      <w:fldChar w:fldCharType="begin"/>
      <w:instrText xml:space="preserve">PAGE</w:instrText>
      <w:fldChar w:fldCharType="end"/>
    </w:r>
    <w:r>
      <w:rPr>
        <w:rFonts w:ascii="Times New Roman" w:hAnsi="Times New Roman" w:eastAsia="Noto Serif CJK SC"/>
        <w:sz w:val="18"/>
      </w:rPr>
      <w:t xml:space="preserve"> 页 共 </w:t>
    </w:r>
    <w:r>
      <w:rPr>
        <w:rFonts w:ascii="Times New Roman" w:hAnsi="Times New Roman" w:eastAsia="Noto Serif CJK SC"/>
        <w:sz w:val="18"/>
      </w:rPr>
      <w:fldChar w:fldCharType="begin"/>
      <w:instrText xml:space="preserve">NUMPAGES</w:instrText>
      <w:fldChar w:fldCharType="end"/>
    </w:r>
    <w:r>
      <w:rPr>
        <w:rFonts w:ascii="Times New Roman" w:hAnsi="Times New Roman" w:eastAsia="Noto Serif CJK SC"/>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exact" w:line="400" w:after="0" w:before="0"/>
      <w:jc w:val="both"/>
    </w:pPr>
    <w:rPr>
      <w:rFonts w:ascii="Times New Roman" w:hAnsi="Times New Roman" w:eastAsia="Noto Serif CJK S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猎头服务合作协议</dc:title>
  <dc:subject/>
  <dc:creator/>
  <cp:keywords/>
  <dc:description/>
  <cp:lastModifiedBy/>
  <cp:revision>1</cp:revision>
  <dcterms:created xsi:type="dcterms:W3CDTF">2013-12-23T23:15:00Z</dcterms:created>
  <dcterms:modified xsi:type="dcterms:W3CDTF">2013-12-23T23:15:00Z</dcterms:modified>
  <cp:category/>
</cp:coreProperties>
</file>